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C5484" w14:textId="2567F095" w:rsidR="00411F08" w:rsidRPr="0052514D" w:rsidRDefault="00411F08" w:rsidP="00411F08">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00354969" w:rsidRPr="00354969">
        <w:rPr>
          <w:rFonts w:eastAsia="SimSun" w:cs="Arial"/>
          <w:sz w:val="24"/>
          <w:szCs w:val="24"/>
        </w:rPr>
        <w:t>R4-2418574</w:t>
      </w:r>
    </w:p>
    <w:p w14:paraId="7352F3AA" w14:textId="77777777" w:rsidR="00411F08" w:rsidRPr="0052514D" w:rsidRDefault="00411F08" w:rsidP="00411F08">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p w14:paraId="23B9EC32" w14:textId="77777777" w:rsidR="006D1F2A" w:rsidRDefault="006D1F2A" w:rsidP="006D1F2A">
      <w:pPr>
        <w:tabs>
          <w:tab w:val="left" w:pos="1985"/>
        </w:tabs>
        <w:spacing w:after="120"/>
        <w:jc w:val="both"/>
        <w:rPr>
          <w:rFonts w:ascii="Arial" w:hAnsi="Arial" w:cs="Arial"/>
          <w:b/>
          <w:sz w:val="22"/>
          <w:szCs w:val="22"/>
        </w:rPr>
      </w:pPr>
    </w:p>
    <w:p w14:paraId="2EA70C06" w14:textId="4F669128" w:rsidR="006D1F2A" w:rsidRPr="00DE2285"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t>5.2</w:t>
      </w:r>
      <w:r w:rsidR="00354969">
        <w:rPr>
          <w:rFonts w:ascii="Arial" w:hAnsi="Arial" w:cs="Arial"/>
          <w:b/>
          <w:sz w:val="22"/>
          <w:szCs w:val="22"/>
        </w:rPr>
        <w:t>1</w:t>
      </w:r>
      <w:r>
        <w:rPr>
          <w:rFonts w:ascii="Arial" w:hAnsi="Arial" w:cs="Arial"/>
          <w:b/>
          <w:sz w:val="22"/>
          <w:szCs w:val="22"/>
        </w:rPr>
        <w:t>.</w:t>
      </w:r>
      <w:r w:rsidR="00354969">
        <w:rPr>
          <w:rFonts w:ascii="Arial" w:hAnsi="Arial" w:cs="Arial"/>
          <w:b/>
          <w:sz w:val="22"/>
          <w:szCs w:val="22"/>
        </w:rPr>
        <w:t>3</w:t>
      </w:r>
    </w:p>
    <w:p w14:paraId="598519CF" w14:textId="77777777" w:rsidR="006D1F2A" w:rsidRPr="0031288E" w:rsidRDefault="006D1F2A" w:rsidP="006D1F2A">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623BF14D" w14:textId="1A443C2A" w:rsidR="006D1F2A" w:rsidRPr="00662C95"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74145B">
        <w:rPr>
          <w:rFonts w:ascii="Arial" w:hAnsi="Arial" w:cs="Arial"/>
          <w:b/>
          <w:sz w:val="22"/>
          <w:szCs w:val="22"/>
        </w:rPr>
        <w:t>On R18 NTN RRM core</w:t>
      </w:r>
      <w:r w:rsidR="00411F08">
        <w:rPr>
          <w:rFonts w:ascii="Arial" w:hAnsi="Arial" w:cs="Arial"/>
          <w:b/>
          <w:sz w:val="22"/>
          <w:szCs w:val="22"/>
        </w:rPr>
        <w:t xml:space="preserve"> and performance</w:t>
      </w:r>
      <w:r w:rsidRPr="0074145B">
        <w:rPr>
          <w:rFonts w:ascii="Arial" w:hAnsi="Arial" w:cs="Arial"/>
          <w:b/>
          <w:sz w:val="22"/>
          <w:szCs w:val="22"/>
        </w:rPr>
        <w:t xml:space="preserve"> requirement</w:t>
      </w:r>
      <w:r w:rsidR="00411F08">
        <w:rPr>
          <w:rFonts w:ascii="Arial" w:hAnsi="Arial" w:cs="Arial"/>
          <w:b/>
          <w:sz w:val="22"/>
          <w:szCs w:val="22"/>
        </w:rPr>
        <w:t xml:space="preserve"> maintenance</w:t>
      </w:r>
    </w:p>
    <w:p w14:paraId="30A50A10" w14:textId="77777777" w:rsidR="006D1F2A" w:rsidRPr="0031288E"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0B0EED05" w:rsidR="00A74337" w:rsidRPr="00EE14B6" w:rsidRDefault="00756606" w:rsidP="00B324AA">
      <w:pPr>
        <w:spacing w:after="120"/>
        <w:jc w:val="both"/>
      </w:pPr>
      <w:r>
        <w:t>In last RAN4#11</w:t>
      </w:r>
      <w:r w:rsidR="00411F08">
        <w:t>2</w:t>
      </w:r>
      <w:r>
        <w:t xml:space="preserve"> meeting, the WF for </w:t>
      </w:r>
      <w:proofErr w:type="spellStart"/>
      <w:r>
        <w:t>eNTN</w:t>
      </w:r>
      <w:proofErr w:type="spellEnd"/>
      <w:r>
        <w:t xml:space="preserve"> has been agreed in [1] and moderator has captured all open issues in the topic summary [2]</w:t>
      </w:r>
      <w:r>
        <w:rPr>
          <w:rFonts w:hint="eastAsia"/>
        </w:rPr>
        <w:t>.</w:t>
      </w:r>
      <w:r>
        <w:t xml:space="preserve"> There are still some opens issues for further discussion, and in this contribution, we continue the discussion on remaining </w:t>
      </w:r>
      <w:r w:rsidRPr="001B48E0">
        <w:t xml:space="preserve">RRM </w:t>
      </w:r>
      <w:r>
        <w:t>performance</w:t>
      </w:r>
      <w:r w:rsidRPr="001B48E0">
        <w:t xml:space="preserve"> requirements for </w:t>
      </w:r>
      <w:proofErr w:type="spellStart"/>
      <w:r>
        <w:t>eNTN</w:t>
      </w:r>
      <w:proofErr w:type="spellEnd"/>
      <w:r>
        <w:t>.</w:t>
      </w:r>
    </w:p>
    <w:p w14:paraId="07EC5BC3" w14:textId="12C1D667" w:rsidR="0087692F" w:rsidRDefault="00E93D52" w:rsidP="0087692F">
      <w:pPr>
        <w:pStyle w:val="Heading1"/>
        <w:numPr>
          <w:ilvl w:val="0"/>
          <w:numId w:val="10"/>
        </w:numPr>
        <w:pBdr>
          <w:top w:val="single" w:sz="12" w:space="2" w:color="auto"/>
        </w:pBdr>
        <w:jc w:val="both"/>
        <w:rPr>
          <w:sz w:val="32"/>
          <w:lang w:val="en-US"/>
        </w:rPr>
      </w:pPr>
      <w:r>
        <w:rPr>
          <w:sz w:val="32"/>
          <w:lang w:val="en-US"/>
        </w:rPr>
        <w:t xml:space="preserve">Discussion </w:t>
      </w:r>
      <w:r w:rsidR="00537816">
        <w:rPr>
          <w:sz w:val="32"/>
          <w:lang w:val="en-US"/>
        </w:rPr>
        <w:t>on Core part</w:t>
      </w:r>
    </w:p>
    <w:p w14:paraId="23BF429D" w14:textId="5AA9410A" w:rsidR="00537816" w:rsidRPr="00537816" w:rsidRDefault="00537816" w:rsidP="00537816">
      <w:pPr>
        <w:outlineLvl w:val="2"/>
        <w:rPr>
          <w:b/>
          <w:u w:val="single"/>
          <w:lang w:eastAsia="ko-KR"/>
        </w:rPr>
      </w:pPr>
      <w:r w:rsidRPr="00537816">
        <w:rPr>
          <w:b/>
          <w:u w:val="single"/>
          <w:lang w:eastAsia="ko-KR"/>
        </w:rPr>
        <w:t>Issue 4-1: TN to NTN cell reselection</w:t>
      </w:r>
    </w:p>
    <w:tbl>
      <w:tblPr>
        <w:tblStyle w:val="TableGrid"/>
        <w:tblW w:w="0" w:type="auto"/>
        <w:tblLook w:val="04A0" w:firstRow="1" w:lastRow="0" w:firstColumn="1" w:lastColumn="0" w:noHBand="0" w:noVBand="1"/>
      </w:tblPr>
      <w:tblGrid>
        <w:gridCol w:w="9730"/>
      </w:tblGrid>
      <w:tr w:rsidR="00537816" w14:paraId="5599322D" w14:textId="77777777" w:rsidTr="00537816">
        <w:tc>
          <w:tcPr>
            <w:tcW w:w="9730" w:type="dxa"/>
          </w:tcPr>
          <w:p w14:paraId="0F72AD3D" w14:textId="77777777" w:rsidR="00537816" w:rsidRPr="00537816" w:rsidRDefault="00537816" w:rsidP="00537816">
            <w:pPr>
              <w:spacing w:before="0" w:beforeAutospacing="0" w:after="0"/>
              <w:rPr>
                <w:b/>
                <w:bCs/>
                <w:iCs/>
                <w:sz w:val="20"/>
                <w:szCs w:val="20"/>
              </w:rPr>
            </w:pPr>
            <w:r w:rsidRPr="00537816">
              <w:rPr>
                <w:b/>
                <w:bCs/>
                <w:iCs/>
                <w:sz w:val="20"/>
                <w:szCs w:val="20"/>
                <w:highlight w:val="green"/>
              </w:rPr>
              <w:t>Agreement (online):</w:t>
            </w:r>
          </w:p>
          <w:p w14:paraId="0F22BEFC" w14:textId="7E48C970" w:rsidR="00537816" w:rsidRPr="00537816" w:rsidRDefault="00537816" w:rsidP="00537816">
            <w:pPr>
              <w:numPr>
                <w:ilvl w:val="0"/>
                <w:numId w:val="45"/>
              </w:numPr>
              <w:snapToGrid w:val="0"/>
              <w:spacing w:before="0" w:beforeAutospacing="0" w:after="0"/>
              <w:ind w:left="644"/>
              <w:rPr>
                <w:rFonts w:eastAsia="DengXian"/>
                <w:iCs/>
                <w:kern w:val="2"/>
                <w:sz w:val="20"/>
                <w:szCs w:val="20"/>
              </w:rPr>
            </w:pPr>
            <w:r w:rsidRPr="00537816">
              <w:rPr>
                <w:rFonts w:eastAsia="DengXian"/>
                <w:iCs/>
                <w:kern w:val="2"/>
                <w:sz w:val="20"/>
                <w:szCs w:val="20"/>
              </w:rPr>
              <w:t xml:space="preserve">For NTN incapable UE, if both TN and NTN carriers are broadcasted for </w:t>
            </w:r>
            <w:proofErr w:type="spellStart"/>
            <w:r w:rsidRPr="00537816">
              <w:rPr>
                <w:rFonts w:eastAsia="DengXian"/>
                <w:iCs/>
                <w:kern w:val="2"/>
                <w:sz w:val="20"/>
                <w:szCs w:val="20"/>
              </w:rPr>
              <w:t>neighbour</w:t>
            </w:r>
            <w:proofErr w:type="spellEnd"/>
            <w:r w:rsidRPr="00537816">
              <w:rPr>
                <w:rFonts w:eastAsia="DengXian"/>
                <w:iCs/>
                <w:kern w:val="2"/>
                <w:sz w:val="20"/>
                <w:szCs w:val="20"/>
              </w:rPr>
              <w:t xml:space="preserve"> cells measurement in IDLE/Inactive mode, the existing TN-to-TN cell reselection requirements apply.</w:t>
            </w:r>
          </w:p>
          <w:p w14:paraId="43057468" w14:textId="77777777" w:rsidR="00537816" w:rsidRPr="00537816" w:rsidRDefault="00537816" w:rsidP="00537816">
            <w:pPr>
              <w:snapToGrid w:val="0"/>
              <w:spacing w:before="0" w:beforeAutospacing="0" w:after="0"/>
              <w:rPr>
                <w:rFonts w:eastAsia="DengXian"/>
                <w:iCs/>
                <w:kern w:val="2"/>
                <w:sz w:val="20"/>
                <w:szCs w:val="20"/>
              </w:rPr>
            </w:pPr>
            <w:r w:rsidRPr="00537816">
              <w:rPr>
                <w:rFonts w:eastAsia="DengXian"/>
                <w:iCs/>
                <w:kern w:val="2"/>
                <w:sz w:val="20"/>
                <w:szCs w:val="20"/>
                <w:highlight w:val="yellow"/>
              </w:rPr>
              <w:t>FFS:</w:t>
            </w:r>
          </w:p>
          <w:p w14:paraId="3FEBD6B8" w14:textId="5AA42B59" w:rsidR="00537816" w:rsidRPr="00537816" w:rsidRDefault="00537816" w:rsidP="00537816">
            <w:pPr>
              <w:numPr>
                <w:ilvl w:val="0"/>
                <w:numId w:val="45"/>
              </w:numPr>
              <w:snapToGrid w:val="0"/>
              <w:spacing w:before="0" w:beforeAutospacing="0" w:after="0"/>
              <w:ind w:left="644"/>
              <w:rPr>
                <w:rFonts w:eastAsia="DengXian"/>
                <w:iCs/>
                <w:kern w:val="2"/>
                <w:sz w:val="21"/>
                <w:szCs w:val="21"/>
              </w:rPr>
            </w:pPr>
            <w:r w:rsidRPr="00537816">
              <w:rPr>
                <w:iCs/>
                <w:sz w:val="20"/>
                <w:szCs w:val="20"/>
              </w:rPr>
              <w:t xml:space="preserve">For TN to NTN cell re-selection requirement when </w:t>
            </w:r>
            <w:proofErr w:type="spellStart"/>
            <w:r w:rsidRPr="00537816">
              <w:rPr>
                <w:iCs/>
                <w:sz w:val="20"/>
                <w:szCs w:val="20"/>
              </w:rPr>
              <w:t>Srxlev</w:t>
            </w:r>
            <w:proofErr w:type="spellEnd"/>
            <w:r w:rsidRPr="00537816">
              <w:rPr>
                <w:iCs/>
                <w:sz w:val="20"/>
                <w:szCs w:val="20"/>
              </w:rPr>
              <w:t xml:space="preserve"> ≤ </w:t>
            </w:r>
            <w:proofErr w:type="spellStart"/>
            <w:r w:rsidRPr="00537816">
              <w:rPr>
                <w:iCs/>
                <w:sz w:val="20"/>
                <w:szCs w:val="20"/>
              </w:rPr>
              <w:t>S</w:t>
            </w:r>
            <w:r w:rsidRPr="00537816">
              <w:rPr>
                <w:iCs/>
                <w:sz w:val="20"/>
                <w:szCs w:val="20"/>
                <w:vertAlign w:val="subscript"/>
              </w:rPr>
              <w:t>nonIntraSearchP</w:t>
            </w:r>
            <w:proofErr w:type="spellEnd"/>
            <w:r w:rsidRPr="00537816">
              <w:rPr>
                <w:iCs/>
                <w:sz w:val="20"/>
                <w:szCs w:val="20"/>
              </w:rPr>
              <w:t xml:space="preserve"> or </w:t>
            </w:r>
            <w:proofErr w:type="spellStart"/>
            <w:r w:rsidRPr="00537816">
              <w:rPr>
                <w:iCs/>
                <w:sz w:val="20"/>
                <w:szCs w:val="20"/>
              </w:rPr>
              <w:t>Squal</w:t>
            </w:r>
            <w:proofErr w:type="spellEnd"/>
            <w:r w:rsidRPr="00537816">
              <w:rPr>
                <w:iCs/>
                <w:sz w:val="20"/>
                <w:szCs w:val="20"/>
              </w:rPr>
              <w:t xml:space="preserve"> ≤ </w:t>
            </w:r>
            <w:proofErr w:type="spellStart"/>
            <w:r w:rsidRPr="00537816">
              <w:rPr>
                <w:iCs/>
                <w:sz w:val="20"/>
                <w:szCs w:val="20"/>
              </w:rPr>
              <w:t>S</w:t>
            </w:r>
            <w:r w:rsidRPr="00537816">
              <w:rPr>
                <w:iCs/>
                <w:sz w:val="20"/>
                <w:szCs w:val="20"/>
                <w:vertAlign w:val="subscript"/>
              </w:rPr>
              <w:t>nonIntraSearchQ</w:t>
            </w:r>
            <w:proofErr w:type="spellEnd"/>
            <w:r w:rsidRPr="00537816">
              <w:rPr>
                <w:iCs/>
                <w:sz w:val="20"/>
                <w:szCs w:val="20"/>
              </w:rPr>
              <w:t>, if UE is configured by network to have at least one high priority carrier which contains NTN cells, the requirements for GNSS ON shall be applied</w:t>
            </w:r>
          </w:p>
        </w:tc>
      </w:tr>
    </w:tbl>
    <w:p w14:paraId="70C9AFBB" w14:textId="77777777" w:rsidR="00537816" w:rsidRDefault="00537816" w:rsidP="00537816">
      <w:pPr>
        <w:jc w:val="both"/>
        <w:rPr>
          <w:iCs/>
          <w:color w:val="000000" w:themeColor="text1"/>
        </w:rPr>
      </w:pPr>
      <w:r>
        <w:rPr>
          <w:iCs/>
          <w:color w:val="000000" w:themeColor="text1"/>
        </w:rPr>
        <w:t>As discussed in previous meetings, when U</w:t>
      </w:r>
      <w:r w:rsidRPr="004065CD">
        <w:rPr>
          <w:iCs/>
          <w:color w:val="000000" w:themeColor="text1"/>
        </w:rPr>
        <w:t>E is camping on a TN serving cell but may perform cell re-selection to a target NTN cell, the difficult part is when UE shall turn on its GNSS modem for its GNSS location acquisition</w:t>
      </w:r>
      <w:r>
        <w:rPr>
          <w:iCs/>
          <w:color w:val="000000" w:themeColor="text1"/>
        </w:rPr>
        <w:t xml:space="preserve">. </w:t>
      </w:r>
      <w:r w:rsidRPr="004065CD">
        <w:rPr>
          <w:iCs/>
          <w:color w:val="000000" w:themeColor="text1"/>
        </w:rPr>
        <w:t>Since UE is in TN coverage and serving cell is good enough, it will waste power if UE keeps the GNSS modem ON</w:t>
      </w:r>
      <w:r>
        <w:rPr>
          <w:iCs/>
          <w:color w:val="000000" w:themeColor="text1"/>
        </w:rPr>
        <w:t xml:space="preserve">. </w:t>
      </w:r>
      <w:r w:rsidRPr="004065CD">
        <w:rPr>
          <w:iCs/>
          <w:color w:val="000000" w:themeColor="text1"/>
        </w:rPr>
        <w:t xml:space="preserve">However, if UE turns on the GNSS when mobility/re-selection is </w:t>
      </w:r>
      <w:r>
        <w:rPr>
          <w:iCs/>
          <w:color w:val="000000" w:themeColor="text1"/>
        </w:rPr>
        <w:t>triggered</w:t>
      </w:r>
      <w:r w:rsidRPr="004065CD">
        <w:rPr>
          <w:iCs/>
          <w:color w:val="000000" w:themeColor="text1"/>
        </w:rPr>
        <w:t>, then it will need much long time for UE to acquire the GNSS location (first time to fix for GNSS localization is time consuming)</w:t>
      </w:r>
      <w:r>
        <w:rPr>
          <w:iCs/>
          <w:color w:val="000000" w:themeColor="text1"/>
        </w:rPr>
        <w:t>.</w:t>
      </w:r>
    </w:p>
    <w:p w14:paraId="04679804" w14:textId="3AA8DC19" w:rsidR="00537816" w:rsidRPr="004065CD" w:rsidRDefault="00537816" w:rsidP="00537816">
      <w:pPr>
        <w:jc w:val="both"/>
        <w:rPr>
          <w:b/>
          <w:bCs/>
          <w:i/>
          <w:color w:val="000000" w:themeColor="text1"/>
        </w:rPr>
      </w:pPr>
      <w:r w:rsidRPr="004065CD">
        <w:rPr>
          <w:b/>
          <w:bCs/>
          <w:i/>
          <w:color w:val="000000" w:themeColor="text1"/>
        </w:rPr>
        <w:t>Observation</w:t>
      </w:r>
      <w:r>
        <w:rPr>
          <w:b/>
          <w:bCs/>
          <w:i/>
          <w:color w:val="000000" w:themeColor="text1"/>
        </w:rPr>
        <w:t xml:space="preserve"> 1</w:t>
      </w:r>
      <w:r w:rsidRPr="004065CD">
        <w:rPr>
          <w:b/>
          <w:bCs/>
          <w:i/>
          <w:color w:val="000000" w:themeColor="text1"/>
        </w:rPr>
        <w:t>: Since the first fix of GNSS will take very long time during the cell reselection procedure, it’s not necessary to always consider UE turns on the GNSS only when the neighbor NTN measurement is triggered.</w:t>
      </w:r>
    </w:p>
    <w:p w14:paraId="153F8754" w14:textId="77777777" w:rsidR="00537816" w:rsidRDefault="00537816" w:rsidP="00537816">
      <w:pPr>
        <w:jc w:val="both"/>
        <w:rPr>
          <w:iCs/>
        </w:rPr>
      </w:pPr>
      <w:r>
        <w:rPr>
          <w:iCs/>
        </w:rPr>
        <w:t>In our view, there might be some scenarios can help UE to determine GNSS is ON or OFF. For instance, if</w:t>
      </w:r>
      <w:r w:rsidRPr="007E4E3A">
        <w:rPr>
          <w:iCs/>
        </w:rPr>
        <w:t xml:space="preserve"> UE is configured by network to have at least one high priority carrier which contains NTN cells,</w:t>
      </w:r>
      <w:r>
        <w:rPr>
          <w:iCs/>
        </w:rPr>
        <w:t xml:space="preserve"> </w:t>
      </w:r>
      <w:r w:rsidRPr="007E4E3A">
        <w:rPr>
          <w:iCs/>
        </w:rPr>
        <w:t xml:space="preserve">UE shall keep GNSS </w:t>
      </w:r>
      <w:r>
        <w:rPr>
          <w:iCs/>
        </w:rPr>
        <w:t>ON</w:t>
      </w:r>
      <w:r w:rsidRPr="007E4E3A">
        <w:rPr>
          <w:iCs/>
        </w:rPr>
        <w:t xml:space="preserve"> </w:t>
      </w:r>
      <w:r>
        <w:rPr>
          <w:iCs/>
        </w:rPr>
        <w:t>during</w:t>
      </w:r>
      <w:r w:rsidRPr="007E4E3A">
        <w:rPr>
          <w:iCs/>
        </w:rPr>
        <w:t xml:space="preserve"> such high priority frequency layer measurement</w:t>
      </w:r>
      <w:r>
        <w:rPr>
          <w:iCs/>
        </w:rPr>
        <w:t xml:space="preserve"> even the UE is in TN coverage. As shown in the following spec text of NTN requirement, even though </w:t>
      </w:r>
      <w:r w:rsidRPr="007B5B1A">
        <w:rPr>
          <w:iCs/>
        </w:rPr>
        <w:t>UE is not required to continuously measure the detected cell to evaluate the ongoing possibility of reselection</w:t>
      </w:r>
      <w:r>
        <w:rPr>
          <w:iCs/>
        </w:rPr>
        <w:t xml:space="preserve"> after </w:t>
      </w:r>
      <w:r w:rsidRPr="007B5B1A">
        <w:rPr>
          <w:iCs/>
        </w:rPr>
        <w:t>determining that reselection has not occurred</w:t>
      </w:r>
      <w:r>
        <w:rPr>
          <w:iCs/>
        </w:rPr>
        <w:t>, the high priority carrier searching is always there after configured in SIB4.</w:t>
      </w:r>
    </w:p>
    <w:tbl>
      <w:tblPr>
        <w:tblStyle w:val="TableGrid"/>
        <w:tblW w:w="0" w:type="auto"/>
        <w:tblLook w:val="04A0" w:firstRow="1" w:lastRow="0" w:firstColumn="1" w:lastColumn="0" w:noHBand="0" w:noVBand="1"/>
      </w:tblPr>
      <w:tblGrid>
        <w:gridCol w:w="9629"/>
      </w:tblGrid>
      <w:tr w:rsidR="00537816" w14:paraId="408682D0" w14:textId="77777777" w:rsidTr="005D5AD7">
        <w:tc>
          <w:tcPr>
            <w:tcW w:w="9629" w:type="dxa"/>
          </w:tcPr>
          <w:p w14:paraId="41376BFF" w14:textId="77777777" w:rsidR="00537816" w:rsidRDefault="00537816" w:rsidP="005D5AD7">
            <w:r>
              <w:lastRenderedPageBreak/>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w:t>
            </w:r>
            <w:r w:rsidRPr="007B5B1A">
              <w:rPr>
                <w:highlight w:val="cyan"/>
              </w:rPr>
              <w:t xml:space="preserve">the UE shall search for inter-frequency layers of higher priority at least every </w:t>
            </w:r>
            <w:proofErr w:type="spellStart"/>
            <w:r w:rsidRPr="007B5B1A">
              <w:rPr>
                <w:highlight w:val="cyan"/>
              </w:rPr>
              <w:t>T</w:t>
            </w:r>
            <w:r w:rsidRPr="007B5B1A">
              <w:rPr>
                <w:highlight w:val="cyan"/>
                <w:vertAlign w:val="subscript"/>
              </w:rPr>
              <w:t>higher_priority_search</w:t>
            </w:r>
            <w:proofErr w:type="spellEnd"/>
            <w:r w:rsidRPr="007B5B1A">
              <w:rPr>
                <w:highlight w:val="cyan"/>
                <w:vertAlign w:val="subscript"/>
              </w:rPr>
              <w:t xml:space="preserve"> </w:t>
            </w:r>
            <w:r w:rsidRPr="007B5B1A">
              <w:rPr>
                <w:highlight w:val="cyan"/>
              </w:rPr>
              <w:t xml:space="preserve">where </w:t>
            </w:r>
            <w:proofErr w:type="spellStart"/>
            <w:r w:rsidRPr="007B5B1A">
              <w:rPr>
                <w:highlight w:val="cyan"/>
              </w:rPr>
              <w:t>T</w:t>
            </w:r>
            <w:r w:rsidRPr="007B5B1A">
              <w:rPr>
                <w:highlight w:val="cyan"/>
                <w:vertAlign w:val="subscript"/>
              </w:rPr>
              <w:t>higher_priority_search</w:t>
            </w:r>
            <w:proofErr w:type="spellEnd"/>
            <w:r w:rsidRPr="007B5B1A">
              <w:rPr>
                <w:highlight w:val="cyan"/>
              </w:rPr>
              <w:t xml:space="preserve"> is described in clause 4.2C.2.9</w:t>
            </w:r>
            <w:r>
              <w:t>.</w:t>
            </w:r>
          </w:p>
          <w:p w14:paraId="0636DE3F" w14:textId="77777777" w:rsidR="00537816" w:rsidRPr="007B5B1A" w:rsidRDefault="00537816" w:rsidP="005D5AD7">
            <w:pPr>
              <w:rPr>
                <w:rFonts w:cs="v4.2.0"/>
              </w:rPr>
            </w:pPr>
            <w:r>
              <w:rPr>
                <w:rFonts w:cs="v4.2.0"/>
                <w:highlight w:val="yellow"/>
              </w:rPr>
              <w:t>-------</w:t>
            </w:r>
            <w:r w:rsidRPr="0003676E">
              <w:rPr>
                <w:rFonts w:cs="v4.2.0"/>
                <w:highlight w:val="yellow"/>
              </w:rPr>
              <w:t xml:space="preserve">Unrelated section </w:t>
            </w:r>
            <w:r>
              <w:rPr>
                <w:rFonts w:cs="v4.2.0"/>
                <w:highlight w:val="yellow"/>
              </w:rPr>
              <w:t>o</w:t>
            </w:r>
            <w:r w:rsidRPr="0003676E">
              <w:rPr>
                <w:rFonts w:cs="v4.2.0"/>
                <w:highlight w:val="yellow"/>
              </w:rPr>
              <w:t>mitted-------</w:t>
            </w:r>
          </w:p>
          <w:p w14:paraId="01F8CABE" w14:textId="77777777" w:rsidR="00537816" w:rsidRPr="007B5B1A" w:rsidRDefault="00537816" w:rsidP="005D5AD7">
            <w:r w:rsidRPr="007B5B1A">
              <w:rPr>
                <w:highlight w:val="cyan"/>
              </w:rPr>
              <w:t xml:space="preserve">When higher priority cells are found by the higher priority search, they shall be measured at least every </w:t>
            </w:r>
            <w:proofErr w:type="spellStart"/>
            <w:r w:rsidRPr="007B5B1A">
              <w:rPr>
                <w:rFonts w:cs="v4.2.0"/>
                <w:highlight w:val="cyan"/>
              </w:rPr>
              <w:t>T</w:t>
            </w:r>
            <w:r w:rsidRPr="007B5B1A">
              <w:rPr>
                <w:rFonts w:cs="v4.2.0"/>
                <w:highlight w:val="cyan"/>
                <w:vertAlign w:val="subscript"/>
              </w:rPr>
              <w:t>measure,NR_Inter</w:t>
            </w:r>
            <w:proofErr w:type="spellEnd"/>
            <w:r w:rsidRPr="007B5B1A">
              <w:rPr>
                <w:highlight w:val="cyan"/>
              </w:rPr>
              <w:t>. If, after detecting a cell in a higher priority search, it is determined that reselection has not occurred then the UE is not required to continuously measure the detected cell to evaluate the ongoing possibility of reselection.</w:t>
            </w:r>
            <w:r>
              <w:t xml:space="preserve">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tc>
      </w:tr>
    </w:tbl>
    <w:p w14:paraId="40B766B6" w14:textId="10AE8D72" w:rsidR="00537816" w:rsidRDefault="00537816" w:rsidP="00537816">
      <w:pPr>
        <w:jc w:val="both"/>
        <w:rPr>
          <w:iCs/>
        </w:rPr>
      </w:pPr>
      <w:r>
        <w:rPr>
          <w:iCs/>
        </w:rPr>
        <w:t xml:space="preserve">Thus, we think at least we can assume the GNSS is always ON when </w:t>
      </w:r>
      <w:r w:rsidRPr="007B5B1A">
        <w:rPr>
          <w:iCs/>
        </w:rPr>
        <w:t>higher priority search</w:t>
      </w:r>
      <w:r>
        <w:rPr>
          <w:iCs/>
        </w:rPr>
        <w:t xml:space="preserve"> is configured. </w:t>
      </w:r>
    </w:p>
    <w:p w14:paraId="25EA69E2" w14:textId="2F793C48" w:rsidR="00537816" w:rsidRDefault="00537816" w:rsidP="00537816">
      <w:pPr>
        <w:jc w:val="both"/>
        <w:rPr>
          <w:b/>
          <w:bCs/>
          <w:i/>
        </w:rPr>
      </w:pPr>
      <w:r w:rsidRPr="001C5761">
        <w:rPr>
          <w:b/>
          <w:bCs/>
          <w:i/>
        </w:rPr>
        <w:t xml:space="preserve">Observation </w:t>
      </w:r>
      <w:r>
        <w:rPr>
          <w:b/>
          <w:bCs/>
          <w:i/>
        </w:rPr>
        <w:t>2</w:t>
      </w:r>
      <w:r w:rsidRPr="001C5761">
        <w:rPr>
          <w:b/>
          <w:bCs/>
          <w:i/>
        </w:rPr>
        <w:t>: if UE is configured by network to have at least one high priority carrier which contains NTN cells, UE will keep GNSS ON during such high priority frequency layer measurement even the UE is in TN coverage.</w:t>
      </w:r>
    </w:p>
    <w:p w14:paraId="2CECDA65" w14:textId="77777777" w:rsidR="00537816" w:rsidRPr="001C5761" w:rsidRDefault="00537816" w:rsidP="00537816">
      <w:pPr>
        <w:jc w:val="both"/>
        <w:rPr>
          <w:iCs/>
        </w:rPr>
      </w:pPr>
      <w:r w:rsidRPr="001C5761">
        <w:rPr>
          <w:iCs/>
        </w:rPr>
        <w:t>Thus, we propose</w:t>
      </w:r>
      <w:r>
        <w:rPr>
          <w:iCs/>
        </w:rPr>
        <w:t>:</w:t>
      </w:r>
    </w:p>
    <w:p w14:paraId="15831F9F" w14:textId="7D697E7B" w:rsidR="00537816" w:rsidRPr="001C5761" w:rsidRDefault="00537816" w:rsidP="00537816">
      <w:r w:rsidRPr="000A7429">
        <w:rPr>
          <w:b/>
          <w:bCs/>
          <w:i/>
          <w:color w:val="000000" w:themeColor="text1"/>
        </w:rPr>
        <w:t xml:space="preserve">Proposal </w:t>
      </w:r>
      <w:r>
        <w:rPr>
          <w:b/>
          <w:bCs/>
          <w:i/>
          <w:color w:val="000000" w:themeColor="text1"/>
        </w:rPr>
        <w:t>1</w:t>
      </w:r>
      <w:r w:rsidRPr="000A7429">
        <w:rPr>
          <w:b/>
          <w:bCs/>
          <w:i/>
          <w:color w:val="000000" w:themeColor="text1"/>
        </w:rPr>
        <w:t xml:space="preserve">: </w:t>
      </w:r>
      <w:r>
        <w:rPr>
          <w:b/>
          <w:bCs/>
          <w:i/>
          <w:color w:val="000000" w:themeColor="text1"/>
        </w:rPr>
        <w:t xml:space="preserve">For TN to NTN cell re-selection requirement </w:t>
      </w:r>
      <w:r w:rsidRPr="001C5761">
        <w:rPr>
          <w:b/>
          <w:bCs/>
          <w:i/>
          <w:color w:val="000000" w:themeColor="text1"/>
        </w:rPr>
        <w:t xml:space="preserve">when </w:t>
      </w:r>
      <w:proofErr w:type="spellStart"/>
      <w:r w:rsidRPr="001C5761">
        <w:rPr>
          <w:b/>
          <w:bCs/>
          <w:i/>
        </w:rPr>
        <w:t>Srxlev</w:t>
      </w:r>
      <w:proofErr w:type="spellEnd"/>
      <w:r w:rsidRPr="001C5761">
        <w:rPr>
          <w:b/>
          <w:bCs/>
          <w:i/>
        </w:rPr>
        <w:t xml:space="preserve"> ≤ </w:t>
      </w:r>
      <w:proofErr w:type="spellStart"/>
      <w:r w:rsidRPr="001C5761">
        <w:rPr>
          <w:b/>
          <w:bCs/>
          <w:i/>
        </w:rPr>
        <w:t>S</w:t>
      </w:r>
      <w:r w:rsidRPr="001C5761">
        <w:rPr>
          <w:b/>
          <w:bCs/>
          <w:i/>
          <w:vertAlign w:val="subscript"/>
        </w:rPr>
        <w:t>nonIntraSearchP</w:t>
      </w:r>
      <w:proofErr w:type="spellEnd"/>
      <w:r w:rsidRPr="001C5761">
        <w:rPr>
          <w:b/>
          <w:bCs/>
          <w:i/>
        </w:rPr>
        <w:t xml:space="preserve"> or </w:t>
      </w:r>
      <w:proofErr w:type="spellStart"/>
      <w:r w:rsidRPr="001C5761">
        <w:rPr>
          <w:b/>
          <w:bCs/>
          <w:i/>
        </w:rPr>
        <w:t>Squal</w:t>
      </w:r>
      <w:proofErr w:type="spellEnd"/>
      <w:r w:rsidRPr="001C5761">
        <w:rPr>
          <w:b/>
          <w:bCs/>
          <w:i/>
        </w:rPr>
        <w:t xml:space="preserve"> ≤ </w:t>
      </w:r>
      <w:proofErr w:type="spellStart"/>
      <w:r w:rsidRPr="001C5761">
        <w:rPr>
          <w:b/>
          <w:bCs/>
          <w:i/>
        </w:rPr>
        <w:t>S</w:t>
      </w:r>
      <w:r w:rsidRPr="001C5761">
        <w:rPr>
          <w:b/>
          <w:bCs/>
          <w:i/>
          <w:vertAlign w:val="subscript"/>
        </w:rPr>
        <w:t>nonIntraSearchQ</w:t>
      </w:r>
      <w:proofErr w:type="spellEnd"/>
      <w:r>
        <w:rPr>
          <w:b/>
          <w:bCs/>
          <w:i/>
          <w:color w:val="000000" w:themeColor="text1"/>
        </w:rPr>
        <w:t xml:space="preserve">, </w:t>
      </w:r>
      <w:r w:rsidRPr="007B5B1A">
        <w:rPr>
          <w:b/>
          <w:bCs/>
          <w:i/>
          <w:color w:val="000000" w:themeColor="text1"/>
        </w:rPr>
        <w:t xml:space="preserve">if UE is configured by network to have at least one high priority carrier which contains NTN cells, </w:t>
      </w:r>
      <w:r>
        <w:rPr>
          <w:b/>
          <w:bCs/>
          <w:i/>
          <w:color w:val="000000" w:themeColor="text1"/>
        </w:rPr>
        <w:t xml:space="preserve">the </w:t>
      </w:r>
      <w:r w:rsidRPr="001C5761">
        <w:rPr>
          <w:b/>
          <w:bCs/>
          <w:i/>
          <w:color w:val="000000" w:themeColor="text1"/>
        </w:rPr>
        <w:t>requirements for GNSS ON</w:t>
      </w:r>
      <w:r>
        <w:rPr>
          <w:b/>
          <w:bCs/>
          <w:i/>
          <w:color w:val="000000" w:themeColor="text1"/>
        </w:rPr>
        <w:t xml:space="preserve"> shall be applied.</w:t>
      </w:r>
    </w:p>
    <w:p w14:paraId="1E7A08D6" w14:textId="77777777" w:rsidR="003F3C7D" w:rsidRDefault="003F3C7D" w:rsidP="003F3C7D">
      <w:pPr>
        <w:outlineLvl w:val="2"/>
        <w:rPr>
          <w:b/>
          <w:u w:val="single"/>
        </w:rPr>
      </w:pPr>
      <w:r>
        <w:rPr>
          <w:b/>
          <w:u w:val="single"/>
          <w:lang w:eastAsia="ko-KR"/>
        </w:rPr>
        <w:t>Issue 5-2</w:t>
      </w:r>
      <w:r w:rsidRPr="007A4D8D">
        <w:rPr>
          <w:b/>
          <w:u w:val="single"/>
          <w:lang w:eastAsia="ko-KR"/>
        </w:rPr>
        <w:t>-</w:t>
      </w:r>
      <w:r>
        <w:rPr>
          <w:b/>
          <w:u w:val="single"/>
          <w:lang w:eastAsia="ko-KR"/>
        </w:rPr>
        <w:t>S: Soft’ Satellite switch</w:t>
      </w:r>
    </w:p>
    <w:tbl>
      <w:tblPr>
        <w:tblStyle w:val="TableGrid"/>
        <w:tblW w:w="0" w:type="auto"/>
        <w:tblLook w:val="04A0" w:firstRow="1" w:lastRow="0" w:firstColumn="1" w:lastColumn="0" w:noHBand="0" w:noVBand="1"/>
      </w:tblPr>
      <w:tblGrid>
        <w:gridCol w:w="9730"/>
      </w:tblGrid>
      <w:tr w:rsidR="003F3C7D" w14:paraId="17F97C5F" w14:textId="77777777" w:rsidTr="003F3C7D">
        <w:tc>
          <w:tcPr>
            <w:tcW w:w="9730" w:type="dxa"/>
          </w:tcPr>
          <w:p w14:paraId="1CAEAC6E" w14:textId="77777777" w:rsidR="003F3C7D" w:rsidRPr="007A46E9" w:rsidRDefault="003F3C7D" w:rsidP="003F3C7D">
            <w:pPr>
              <w:snapToGrid w:val="0"/>
              <w:spacing w:before="0" w:beforeAutospacing="0" w:after="0"/>
              <w:rPr>
                <w:rFonts w:eastAsia="DengXian"/>
                <w:iCs/>
                <w:kern w:val="2"/>
                <w:sz w:val="21"/>
                <w:szCs w:val="21"/>
              </w:rPr>
            </w:pPr>
            <w:r w:rsidRPr="00A111B6">
              <w:rPr>
                <w:rFonts w:eastAsia="DengXian"/>
                <w:iCs/>
                <w:kern w:val="2"/>
                <w:sz w:val="21"/>
                <w:szCs w:val="21"/>
                <w:highlight w:val="yellow"/>
              </w:rPr>
              <w:t>FFS:</w:t>
            </w:r>
          </w:p>
          <w:p w14:paraId="7419CC67" w14:textId="77777777" w:rsidR="003F3C7D" w:rsidRPr="00002102" w:rsidRDefault="003F3C7D" w:rsidP="003F3C7D">
            <w:pPr>
              <w:pStyle w:val="ListParagraph"/>
              <w:widowControl/>
              <w:numPr>
                <w:ilvl w:val="0"/>
                <w:numId w:val="45"/>
              </w:numPr>
              <w:spacing w:before="0" w:beforeAutospacing="0" w:after="0" w:line="240" w:lineRule="auto"/>
              <w:ind w:left="644" w:firstLineChars="0"/>
              <w:rPr>
                <w:lang w:eastAsia="ja-JP"/>
              </w:rPr>
            </w:pPr>
            <w:r w:rsidRPr="00002102">
              <w:rPr>
                <w:lang w:eastAsia="ja-JP"/>
              </w:rPr>
              <w:t>RAN4 to not consider PDD reporting between serving and target satellites involved in the satellite switching without PCI change.</w:t>
            </w:r>
          </w:p>
          <w:p w14:paraId="1CC38075" w14:textId="77777777" w:rsidR="003F3C7D" w:rsidRPr="00002102" w:rsidRDefault="003F3C7D" w:rsidP="003F3C7D">
            <w:pPr>
              <w:snapToGrid w:val="0"/>
              <w:spacing w:before="0" w:beforeAutospacing="0" w:after="0"/>
              <w:rPr>
                <w:rFonts w:eastAsia="DengXian"/>
                <w:iCs/>
                <w:kern w:val="2"/>
                <w:sz w:val="21"/>
                <w:szCs w:val="21"/>
              </w:rPr>
            </w:pPr>
            <w:r w:rsidRPr="00002102">
              <w:rPr>
                <w:rFonts w:eastAsia="DengXian"/>
                <w:iCs/>
                <w:kern w:val="2"/>
                <w:sz w:val="21"/>
                <w:szCs w:val="21"/>
                <w:highlight w:val="yellow"/>
              </w:rPr>
              <w:t>FFS:</w:t>
            </w:r>
          </w:p>
          <w:p w14:paraId="68AB8AD2" w14:textId="4ED2B769" w:rsidR="003F3C7D" w:rsidRPr="003F3C7D" w:rsidRDefault="003F3C7D" w:rsidP="003F3C7D">
            <w:pPr>
              <w:pStyle w:val="ListParagraph"/>
              <w:widowControl/>
              <w:numPr>
                <w:ilvl w:val="0"/>
                <w:numId w:val="45"/>
              </w:numPr>
              <w:spacing w:before="0" w:beforeAutospacing="0" w:after="0" w:line="240" w:lineRule="auto"/>
              <w:ind w:left="644" w:firstLineChars="0"/>
              <w:rPr>
                <w:lang w:eastAsia="ja-JP"/>
              </w:rPr>
            </w:pPr>
            <w:r w:rsidRPr="00002102">
              <w:rPr>
                <w:lang w:eastAsia="ja-JP"/>
              </w:rPr>
              <w:t xml:space="preserve">To enhance scheduling restriction in soft satellite switching, consider modifying the capability rule such that: if UE indicates to support soft satellite switching without PCI change, it also means UE supports both </w:t>
            </w:r>
            <w:proofErr w:type="spellStart"/>
            <w:r w:rsidRPr="00002102">
              <w:rPr>
                <w:lang w:eastAsia="ja-JP"/>
              </w:rPr>
              <w:t>simultaneousRxDataSSB-DiffNumerology</w:t>
            </w:r>
            <w:proofErr w:type="spellEnd"/>
            <w:r w:rsidRPr="00002102">
              <w:rPr>
                <w:lang w:eastAsia="ja-JP"/>
              </w:rPr>
              <w:t xml:space="preserve"> and parallelMeasurementWithoutRestriction-r17.</w:t>
            </w:r>
          </w:p>
        </w:tc>
      </w:tr>
    </w:tbl>
    <w:p w14:paraId="6F18CF89" w14:textId="77777777" w:rsidR="003F3C7D" w:rsidRDefault="003F3C7D" w:rsidP="003F3C7D">
      <w:pPr>
        <w:jc w:val="both"/>
        <w:rPr>
          <w:bCs/>
          <w:lang w:eastAsia="ko-KR"/>
        </w:rPr>
      </w:pPr>
      <w:r>
        <w:rPr>
          <w:bCs/>
          <w:lang w:eastAsia="ko-KR"/>
        </w:rPr>
        <w:t xml:space="preserve">How to optimize the scheduling restriction is not fully concluded yet as highlighted in </w:t>
      </w:r>
      <w:r w:rsidRPr="00503CC5">
        <w:rPr>
          <w:bCs/>
          <w:highlight w:val="yellow"/>
          <w:lang w:eastAsia="ko-KR"/>
        </w:rPr>
        <w:t>yellow</w:t>
      </w:r>
      <w:r>
        <w:rPr>
          <w:bCs/>
          <w:lang w:eastAsia="ko-KR"/>
        </w:rPr>
        <w:t xml:space="preserve"> above. </w:t>
      </w:r>
      <w:r w:rsidRPr="002D5C49">
        <w:rPr>
          <w:bCs/>
          <w:lang w:eastAsia="ko-KR"/>
        </w:rPr>
        <w:t xml:space="preserve">In </w:t>
      </w:r>
      <w:r>
        <w:rPr>
          <w:bCs/>
          <w:lang w:eastAsia="ko-KR"/>
        </w:rPr>
        <w:t>previous</w:t>
      </w:r>
      <w:r w:rsidRPr="002D5C49">
        <w:rPr>
          <w:bCs/>
          <w:lang w:eastAsia="ko-KR"/>
        </w:rPr>
        <w:t xml:space="preserve"> meeting, some companies proposed to use PDD measurement/report to </w:t>
      </w:r>
      <w:r>
        <w:rPr>
          <w:bCs/>
          <w:lang w:eastAsia="ko-KR"/>
        </w:rPr>
        <w:t xml:space="preserve">enhance the </w:t>
      </w:r>
      <w:r w:rsidRPr="002D5C49">
        <w:rPr>
          <w:bCs/>
          <w:lang w:eastAsia="ko-KR"/>
        </w:rPr>
        <w:t>scheduling restriction</w:t>
      </w:r>
      <w:r>
        <w:rPr>
          <w:bCs/>
          <w:lang w:eastAsia="ko-KR"/>
        </w:rPr>
        <w:t xml:space="preserve"> during the soft satellite switch. However, RAN2 had following agreements that,</w:t>
      </w:r>
    </w:p>
    <w:tbl>
      <w:tblPr>
        <w:tblStyle w:val="TableGrid"/>
        <w:tblW w:w="0" w:type="auto"/>
        <w:tblLook w:val="04A0" w:firstRow="1" w:lastRow="0" w:firstColumn="1" w:lastColumn="0" w:noHBand="0" w:noVBand="1"/>
      </w:tblPr>
      <w:tblGrid>
        <w:gridCol w:w="9629"/>
      </w:tblGrid>
      <w:tr w:rsidR="003F3C7D" w14:paraId="1B8CBC2D" w14:textId="77777777" w:rsidTr="005D5AD7">
        <w:tc>
          <w:tcPr>
            <w:tcW w:w="9629" w:type="dxa"/>
          </w:tcPr>
          <w:p w14:paraId="25DEBBCC" w14:textId="77777777" w:rsidR="003F3C7D" w:rsidRPr="00115B58" w:rsidRDefault="003F3C7D" w:rsidP="005D5AD7">
            <w:pPr>
              <w:rPr>
                <w:sz w:val="20"/>
                <w:szCs w:val="20"/>
                <w:lang w:val="en-GB" w:eastAsia="en-GB"/>
              </w:rPr>
            </w:pPr>
            <w:r>
              <w:rPr>
                <w:sz w:val="20"/>
                <w:szCs w:val="20"/>
                <w:lang w:val="en-GB" w:eastAsia="en-GB"/>
              </w:rPr>
              <w:t xml:space="preserve">3.  </w:t>
            </w:r>
            <w:r w:rsidRPr="00115B58">
              <w:rPr>
                <w:sz w:val="20"/>
                <w:szCs w:val="20"/>
                <w:lang w:val="en-GB" w:eastAsia="en-GB"/>
              </w:rPr>
              <w:t xml:space="preserve">We don’t introduce the support for configuring and reporting measurements on the target cell (from target satellite) in the soft switch case </w:t>
            </w:r>
          </w:p>
          <w:p w14:paraId="6CD752B4" w14:textId="77777777" w:rsidR="003F3C7D" w:rsidRPr="002D5C49" w:rsidRDefault="003F3C7D" w:rsidP="005D5AD7">
            <w:pPr>
              <w:rPr>
                <w:sz w:val="20"/>
                <w:szCs w:val="20"/>
                <w:lang w:val="en-GB" w:eastAsia="en-GB"/>
              </w:rPr>
            </w:pPr>
            <w:r w:rsidRPr="00115B58">
              <w:rPr>
                <w:sz w:val="20"/>
                <w:szCs w:val="20"/>
                <w:lang w:val="en-GB" w:eastAsia="en-GB"/>
              </w:rPr>
              <w:t>4.</w:t>
            </w:r>
            <w:r w:rsidRPr="00115B58">
              <w:rPr>
                <w:sz w:val="20"/>
                <w:szCs w:val="20"/>
                <w:lang w:val="en-GB" w:eastAsia="en-GB"/>
              </w:rPr>
              <w:tab/>
            </w:r>
            <w:r w:rsidRPr="00115B58">
              <w:rPr>
                <w:sz w:val="20"/>
                <w:szCs w:val="20"/>
                <w:highlight w:val="yellow"/>
                <w:lang w:val="en-GB" w:eastAsia="en-GB"/>
              </w:rPr>
              <w:t>RAN2 understands that the NW is not expected to configure PDD reporting between serving and target satellites involved in the satellite switch</w:t>
            </w:r>
          </w:p>
        </w:tc>
      </w:tr>
    </w:tbl>
    <w:p w14:paraId="011BDCB3" w14:textId="77777777" w:rsidR="003F3C7D" w:rsidRDefault="003F3C7D" w:rsidP="003F3C7D">
      <w:pPr>
        <w:jc w:val="both"/>
        <w:rPr>
          <w:bCs/>
          <w:lang w:eastAsia="ko-KR"/>
        </w:rPr>
      </w:pPr>
      <w:r>
        <w:rPr>
          <w:bCs/>
          <w:lang w:eastAsia="ko-KR"/>
        </w:rPr>
        <w:t xml:space="preserve">In addition, </w:t>
      </w:r>
      <w:r w:rsidRPr="00AC006C">
        <w:rPr>
          <w:bCs/>
          <w:lang w:eastAsia="ko-KR"/>
        </w:rPr>
        <w:t xml:space="preserve">when to start target satellite synchronization is up to UE implementation, even though network can </w:t>
      </w:r>
      <w:r>
        <w:rPr>
          <w:bCs/>
          <w:lang w:eastAsia="ko-KR"/>
        </w:rPr>
        <w:t xml:space="preserve">somehow </w:t>
      </w:r>
      <w:r w:rsidRPr="00AC006C">
        <w:rPr>
          <w:bCs/>
          <w:lang w:eastAsia="ko-KR"/>
        </w:rPr>
        <w:t xml:space="preserve">know the time location of received target SAT’s SSB occasion at UE, network may still need to apply scheduling restriction on all possible SSB occasions, therefore PDD reporting </w:t>
      </w:r>
      <w:r w:rsidRPr="00AC006C">
        <w:rPr>
          <w:bCs/>
          <w:lang w:eastAsia="ko-KR"/>
        </w:rPr>
        <w:lastRenderedPageBreak/>
        <w:t>benefit is very limited</w:t>
      </w:r>
      <w:r>
        <w:rPr>
          <w:bCs/>
          <w:lang w:eastAsia="ko-KR"/>
        </w:rPr>
        <w:t xml:space="preserve">. So RAN4 shall not consider PDD reporting </w:t>
      </w:r>
      <w:r w:rsidRPr="002D5C49">
        <w:rPr>
          <w:bCs/>
          <w:lang w:eastAsia="ko-KR"/>
        </w:rPr>
        <w:t>between serving and target satellites involved in the satellite switch</w:t>
      </w:r>
      <w:r>
        <w:rPr>
          <w:bCs/>
          <w:lang w:eastAsia="ko-KR"/>
        </w:rPr>
        <w:t xml:space="preserve">. Regarding the scheduling restriction itself, if UE </w:t>
      </w:r>
      <w:r w:rsidRPr="002D5C49">
        <w:rPr>
          <w:bCs/>
          <w:lang w:eastAsia="ko-KR"/>
        </w:rPr>
        <w:t xml:space="preserve">is not capable of </w:t>
      </w:r>
      <w:r w:rsidRPr="002D5C49">
        <w:rPr>
          <w:bCs/>
          <w:i/>
          <w:iCs/>
          <w:lang w:eastAsia="ko-KR"/>
        </w:rPr>
        <w:t>parallelMeasurementWithoutRestriction-r17</w:t>
      </w:r>
      <w:r>
        <w:rPr>
          <w:bCs/>
          <w:lang w:eastAsia="ko-KR"/>
        </w:rPr>
        <w:t xml:space="preserve">, network can still configure hard satellite switching for simplicity, and it can always be alternative for these special cases. From UE capability perspective, our understanding is: </w:t>
      </w:r>
      <w:r w:rsidRPr="00AC006C">
        <w:rPr>
          <w:bCs/>
          <w:lang w:eastAsia="ko-KR"/>
        </w:rPr>
        <w:t>If UE indicates to support soft satellite switching without PCI change, it</w:t>
      </w:r>
      <w:r>
        <w:rPr>
          <w:bCs/>
          <w:lang w:eastAsia="ko-KR"/>
        </w:rPr>
        <w:t xml:space="preserve"> would be typical for UE also to </w:t>
      </w:r>
      <w:r w:rsidRPr="00AC006C">
        <w:rPr>
          <w:bCs/>
          <w:lang w:eastAsia="ko-KR"/>
        </w:rPr>
        <w:t xml:space="preserve">indicate to support </w:t>
      </w:r>
      <w:proofErr w:type="spellStart"/>
      <w:r w:rsidRPr="00AC006C">
        <w:rPr>
          <w:bCs/>
          <w:lang w:eastAsia="ko-KR"/>
        </w:rPr>
        <w:t>simultaneousRxDataSSB-DiffNumerology</w:t>
      </w:r>
      <w:proofErr w:type="spellEnd"/>
      <w:r w:rsidRPr="00AC006C">
        <w:rPr>
          <w:bCs/>
          <w:lang w:eastAsia="ko-KR"/>
        </w:rPr>
        <w:t xml:space="preserve"> and parallelMeasurementWithoutRestriction-r17 as well</w:t>
      </w:r>
      <w:r>
        <w:rPr>
          <w:bCs/>
          <w:lang w:eastAsia="ko-KR"/>
        </w:rPr>
        <w:t>. And in this case, then n</w:t>
      </w:r>
      <w:r w:rsidRPr="00AC006C">
        <w:rPr>
          <w:bCs/>
          <w:lang w:eastAsia="ko-KR"/>
        </w:rPr>
        <w:t xml:space="preserve">o scheduling restriction will be applied during the </w:t>
      </w:r>
      <w:proofErr w:type="gramStart"/>
      <w:r w:rsidRPr="00AC006C">
        <w:rPr>
          <w:bCs/>
          <w:lang w:eastAsia="ko-KR"/>
        </w:rPr>
        <w:t>time period</w:t>
      </w:r>
      <w:proofErr w:type="gramEnd"/>
      <w:r w:rsidRPr="00AC006C">
        <w:rPr>
          <w:bCs/>
          <w:lang w:eastAsia="ko-KR"/>
        </w:rPr>
        <w:t xml:space="preserve"> of [t-</w:t>
      </w:r>
      <w:proofErr w:type="spellStart"/>
      <w:r w:rsidRPr="00AC006C">
        <w:rPr>
          <w:bCs/>
          <w:lang w:eastAsia="ko-KR"/>
        </w:rPr>
        <w:t>serviceStart</w:t>
      </w:r>
      <w:proofErr w:type="spellEnd"/>
      <w:r w:rsidRPr="00AC006C">
        <w:rPr>
          <w:bCs/>
          <w:lang w:eastAsia="ko-KR"/>
        </w:rPr>
        <w:t>, t-Service] during the soft satellite switching</w:t>
      </w:r>
      <w:r>
        <w:rPr>
          <w:bCs/>
          <w:lang w:eastAsia="ko-KR"/>
        </w:rPr>
        <w:t>.</w:t>
      </w:r>
    </w:p>
    <w:p w14:paraId="24EE640B" w14:textId="70D99113" w:rsidR="003F3C7D" w:rsidRDefault="003F3C7D" w:rsidP="003F3C7D">
      <w:pPr>
        <w:spacing w:before="0" w:beforeAutospacing="0" w:after="120"/>
        <w:jc w:val="both"/>
        <w:rPr>
          <w:b/>
          <w:bCs/>
          <w:i/>
          <w:color w:val="000000" w:themeColor="text1"/>
        </w:rPr>
      </w:pPr>
      <w:r w:rsidRPr="000A7429">
        <w:rPr>
          <w:b/>
          <w:bCs/>
          <w:i/>
          <w:color w:val="000000" w:themeColor="text1"/>
        </w:rPr>
        <w:t xml:space="preserve">Proposal </w:t>
      </w:r>
      <w:r>
        <w:rPr>
          <w:rFonts w:hint="eastAsia"/>
          <w:b/>
          <w:bCs/>
          <w:i/>
          <w:color w:val="000000" w:themeColor="text1"/>
        </w:rPr>
        <w:t>2</w:t>
      </w:r>
      <w:r w:rsidRPr="000A7429">
        <w:rPr>
          <w:b/>
          <w:bCs/>
          <w:i/>
          <w:color w:val="000000" w:themeColor="text1"/>
        </w:rPr>
        <w:t xml:space="preserve">: </w:t>
      </w:r>
      <w:r w:rsidRPr="003142B1">
        <w:rPr>
          <w:b/>
          <w:bCs/>
          <w:i/>
          <w:color w:val="000000" w:themeColor="text1"/>
        </w:rPr>
        <w:t>not consider PDD reporting between serving and target satellites involved in the satellite switching without PCI change</w:t>
      </w:r>
      <w:r>
        <w:rPr>
          <w:b/>
          <w:bCs/>
          <w:i/>
          <w:color w:val="000000" w:themeColor="text1"/>
        </w:rPr>
        <w:t>.</w:t>
      </w:r>
    </w:p>
    <w:p w14:paraId="6880C97E" w14:textId="2F64FF8C" w:rsidR="003F3C7D" w:rsidRDefault="003F3C7D" w:rsidP="003F3C7D">
      <w:pPr>
        <w:spacing w:before="0" w:beforeAutospacing="0" w:after="120"/>
        <w:jc w:val="both"/>
        <w:rPr>
          <w:b/>
          <w:bCs/>
          <w:i/>
          <w:color w:val="000000" w:themeColor="text1"/>
        </w:rPr>
      </w:pPr>
      <w:r>
        <w:rPr>
          <w:b/>
          <w:bCs/>
          <w:i/>
          <w:color w:val="000000" w:themeColor="text1"/>
        </w:rPr>
        <w:t xml:space="preserve">Proposal </w:t>
      </w:r>
      <w:r>
        <w:rPr>
          <w:rFonts w:hint="eastAsia"/>
          <w:b/>
          <w:bCs/>
          <w:i/>
          <w:color w:val="000000" w:themeColor="text1"/>
        </w:rPr>
        <w:t>3</w:t>
      </w:r>
      <w:r>
        <w:rPr>
          <w:b/>
          <w:bCs/>
          <w:i/>
          <w:color w:val="000000" w:themeColor="text1"/>
        </w:rPr>
        <w:t xml:space="preserve">: to enhance scheduling restriction in soft satellite switching, consider modifying the capability rule such that: if </w:t>
      </w:r>
      <w:r w:rsidRPr="00AC006C">
        <w:rPr>
          <w:b/>
          <w:bCs/>
          <w:i/>
          <w:color w:val="000000" w:themeColor="text1"/>
        </w:rPr>
        <w:t xml:space="preserve">UE indicates to support soft satellite switching without PCI change, it also </w:t>
      </w:r>
      <w:r>
        <w:rPr>
          <w:b/>
          <w:bCs/>
          <w:i/>
          <w:color w:val="000000" w:themeColor="text1"/>
        </w:rPr>
        <w:t>means</w:t>
      </w:r>
      <w:r w:rsidRPr="00AC006C">
        <w:rPr>
          <w:b/>
          <w:bCs/>
          <w:i/>
          <w:color w:val="000000" w:themeColor="text1"/>
        </w:rPr>
        <w:t xml:space="preserve"> UE support</w:t>
      </w:r>
      <w:r>
        <w:rPr>
          <w:b/>
          <w:bCs/>
          <w:i/>
          <w:color w:val="000000" w:themeColor="text1"/>
        </w:rPr>
        <w:t>s</w:t>
      </w:r>
      <w:r w:rsidRPr="00AC006C">
        <w:rPr>
          <w:b/>
          <w:bCs/>
          <w:i/>
          <w:color w:val="000000" w:themeColor="text1"/>
        </w:rPr>
        <w:t xml:space="preserve"> </w:t>
      </w:r>
      <w:r>
        <w:rPr>
          <w:b/>
          <w:bCs/>
          <w:i/>
          <w:color w:val="000000" w:themeColor="text1"/>
        </w:rPr>
        <w:t xml:space="preserve">both </w:t>
      </w:r>
      <w:proofErr w:type="spellStart"/>
      <w:r w:rsidRPr="00AC006C">
        <w:rPr>
          <w:b/>
          <w:bCs/>
          <w:i/>
          <w:color w:val="000000" w:themeColor="text1"/>
        </w:rPr>
        <w:t>simultaneousRxDataSSB-DiffNumerology</w:t>
      </w:r>
      <w:proofErr w:type="spellEnd"/>
      <w:r w:rsidRPr="00AC006C">
        <w:rPr>
          <w:b/>
          <w:bCs/>
          <w:i/>
          <w:color w:val="000000" w:themeColor="text1"/>
        </w:rPr>
        <w:t xml:space="preserve"> and parallelMeasurementWithoutRestriction-r17</w:t>
      </w:r>
      <w:r>
        <w:rPr>
          <w:b/>
          <w:bCs/>
          <w:i/>
          <w:color w:val="000000" w:themeColor="text1"/>
        </w:rPr>
        <w:t>.</w:t>
      </w:r>
    </w:p>
    <w:p w14:paraId="1A1403EF" w14:textId="32F5E185" w:rsidR="00537816" w:rsidRDefault="00537816" w:rsidP="00537816">
      <w:pPr>
        <w:pStyle w:val="Heading1"/>
        <w:numPr>
          <w:ilvl w:val="0"/>
          <w:numId w:val="10"/>
        </w:numPr>
        <w:pBdr>
          <w:top w:val="single" w:sz="12" w:space="2" w:color="auto"/>
        </w:pBdr>
        <w:jc w:val="both"/>
        <w:rPr>
          <w:sz w:val="32"/>
          <w:lang w:val="en-US"/>
        </w:rPr>
      </w:pPr>
      <w:r>
        <w:rPr>
          <w:sz w:val="32"/>
          <w:lang w:val="en-US"/>
        </w:rPr>
        <w:t>Discussion on Performance part</w:t>
      </w:r>
    </w:p>
    <w:p w14:paraId="0505B872" w14:textId="2022FF87" w:rsidR="00AC00CE" w:rsidRPr="00EE14B6" w:rsidRDefault="00AC00CE" w:rsidP="00AC00CE">
      <w:pPr>
        <w:rPr>
          <w:bCs/>
          <w:color w:val="000000" w:themeColor="text1"/>
          <w:lang w:eastAsia="ko-KR"/>
        </w:rPr>
      </w:pPr>
      <w:r w:rsidRPr="00EE14B6">
        <w:rPr>
          <w:bCs/>
          <w:color w:val="000000" w:themeColor="text1"/>
          <w:lang w:eastAsia="ko-KR"/>
        </w:rPr>
        <w:t xml:space="preserve">The </w:t>
      </w:r>
      <w:r w:rsidR="004A4A05" w:rsidRPr="00EE14B6">
        <w:rPr>
          <w:bCs/>
          <w:color w:val="000000" w:themeColor="text1"/>
          <w:lang w:eastAsia="ko-KR"/>
        </w:rPr>
        <w:t xml:space="preserve">previous </w:t>
      </w:r>
      <w:r w:rsidRPr="00EE14B6">
        <w:rPr>
          <w:bCs/>
          <w:color w:val="000000" w:themeColor="text1"/>
          <w:lang w:eastAsia="ko-KR"/>
        </w:rPr>
        <w:t xml:space="preserve">agreement and open issue for </w:t>
      </w:r>
      <w:r w:rsidR="00B324AA" w:rsidRPr="00EE14B6">
        <w:rPr>
          <w:bCs/>
          <w:color w:val="000000" w:themeColor="text1"/>
          <w:lang w:eastAsia="ko-KR"/>
        </w:rPr>
        <w:t xml:space="preserve">UE </w:t>
      </w:r>
      <w:r w:rsidR="00B832A4" w:rsidRPr="00EE14B6">
        <w:rPr>
          <w:bCs/>
          <w:color w:val="000000" w:themeColor="text1"/>
          <w:lang w:eastAsia="ko-KR"/>
        </w:rPr>
        <w:t>accuracy</w:t>
      </w:r>
      <w:r w:rsidR="00B324AA" w:rsidRPr="00EE14B6">
        <w:rPr>
          <w:bCs/>
          <w:color w:val="000000" w:themeColor="text1"/>
          <w:lang w:eastAsia="ko-KR"/>
        </w:rPr>
        <w:t xml:space="preserve"> requirement </w:t>
      </w:r>
      <w:r w:rsidRPr="00EE14B6">
        <w:rPr>
          <w:bCs/>
          <w:color w:val="000000" w:themeColor="text1"/>
          <w:lang w:eastAsia="ko-KR"/>
        </w:rPr>
        <w:t xml:space="preserve">over 10GHz </w:t>
      </w:r>
      <w:r w:rsidR="00B324AA" w:rsidRPr="00EE14B6">
        <w:rPr>
          <w:bCs/>
          <w:color w:val="000000" w:themeColor="text1"/>
          <w:lang w:eastAsia="ko-KR"/>
        </w:rPr>
        <w:t>is</w:t>
      </w:r>
      <w:r w:rsidRPr="00EE14B6">
        <w:rPr>
          <w:bCs/>
          <w:color w:val="000000" w:themeColor="text1"/>
          <w:lang w:eastAsia="ko-KR"/>
        </w:rPr>
        <w:t>:</w:t>
      </w:r>
    </w:p>
    <w:p w14:paraId="3A1FC59C" w14:textId="77777777" w:rsidR="003F3C7D" w:rsidRDefault="003F3C7D" w:rsidP="003F3C7D">
      <w:pPr>
        <w:outlineLvl w:val="2"/>
        <w:rPr>
          <w:b/>
          <w:u w:val="single"/>
          <w:lang w:eastAsia="ko-KR"/>
        </w:rPr>
      </w:pPr>
      <w:r w:rsidRPr="003560DC">
        <w:rPr>
          <w:b/>
          <w:u w:val="single"/>
          <w:lang w:eastAsia="ko-KR"/>
        </w:rPr>
        <w:t xml:space="preserve">Issue 6-2-2: </w:t>
      </w:r>
      <w:r>
        <w:rPr>
          <w:b/>
          <w:u w:val="single"/>
          <w:lang w:eastAsia="ko-KR"/>
        </w:rPr>
        <w:t xml:space="preserve">(FR2-NTN) </w:t>
      </w:r>
      <w:r w:rsidRPr="003560DC">
        <w:rPr>
          <w:b/>
          <w:u w:val="single"/>
          <w:lang w:eastAsia="ko-KR"/>
        </w:rPr>
        <w:t>Rx beam gain</w:t>
      </w:r>
    </w:p>
    <w:tbl>
      <w:tblPr>
        <w:tblStyle w:val="TableGrid"/>
        <w:tblW w:w="0" w:type="auto"/>
        <w:tblLook w:val="04A0" w:firstRow="1" w:lastRow="0" w:firstColumn="1" w:lastColumn="0" w:noHBand="0" w:noVBand="1"/>
      </w:tblPr>
      <w:tblGrid>
        <w:gridCol w:w="9629"/>
      </w:tblGrid>
      <w:tr w:rsidR="00AC00CE" w14:paraId="2A79698A" w14:textId="77777777" w:rsidTr="00AC00CE">
        <w:tc>
          <w:tcPr>
            <w:tcW w:w="9629" w:type="dxa"/>
          </w:tcPr>
          <w:p w14:paraId="161D3EB6" w14:textId="77777777" w:rsidR="003F3C7D" w:rsidRPr="003F3C7D" w:rsidRDefault="003F3C7D" w:rsidP="003F3C7D">
            <w:pPr>
              <w:spacing w:before="0" w:beforeAutospacing="0" w:after="0"/>
              <w:rPr>
                <w:b/>
                <w:bCs/>
                <w:iCs/>
                <w:sz w:val="20"/>
                <w:szCs w:val="20"/>
              </w:rPr>
            </w:pPr>
            <w:r w:rsidRPr="003F3C7D">
              <w:rPr>
                <w:b/>
                <w:bCs/>
                <w:iCs/>
                <w:sz w:val="20"/>
                <w:szCs w:val="20"/>
                <w:highlight w:val="green"/>
              </w:rPr>
              <w:t>Agreement (online):</w:t>
            </w:r>
          </w:p>
          <w:p w14:paraId="7AFB77F2" w14:textId="77777777" w:rsidR="003F3C7D" w:rsidRPr="003F3C7D" w:rsidRDefault="003F3C7D" w:rsidP="003F3C7D">
            <w:pPr>
              <w:numPr>
                <w:ilvl w:val="0"/>
                <w:numId w:val="45"/>
              </w:numPr>
              <w:snapToGrid w:val="0"/>
              <w:spacing w:before="0" w:beforeAutospacing="0" w:after="0"/>
              <w:ind w:left="644"/>
              <w:rPr>
                <w:rFonts w:eastAsia="DengXian"/>
                <w:kern w:val="2"/>
                <w:sz w:val="20"/>
                <w:szCs w:val="20"/>
              </w:rPr>
            </w:pPr>
            <w:r w:rsidRPr="003F3C7D">
              <w:rPr>
                <w:rFonts w:eastAsia="DengXian"/>
                <w:kern w:val="2"/>
                <w:sz w:val="20"/>
                <w:szCs w:val="20"/>
              </w:rPr>
              <w:t xml:space="preserve">For the minimum SSB_RP condition </w:t>
            </w:r>
            <w:r w:rsidRPr="003F3C7D">
              <w:rPr>
                <w:rFonts w:eastAsia="Malgun Gothic"/>
                <w:kern w:val="2"/>
                <w:sz w:val="20"/>
                <w:szCs w:val="20"/>
                <w:lang w:eastAsia="ko-KR"/>
              </w:rPr>
              <w:t>for electronic steering antenna,</w:t>
            </w:r>
            <w:r w:rsidRPr="003F3C7D">
              <w:rPr>
                <w:rFonts w:eastAsia="DengXian"/>
                <w:kern w:val="2"/>
                <w:sz w:val="20"/>
                <w:szCs w:val="20"/>
              </w:rPr>
              <w:t xml:space="preserve"> </w:t>
            </w:r>
          </w:p>
          <w:p w14:paraId="1C358916" w14:textId="77777777" w:rsidR="003F3C7D" w:rsidRPr="003F3C7D" w:rsidRDefault="003F3C7D" w:rsidP="003F3C7D">
            <w:pPr>
              <w:numPr>
                <w:ilvl w:val="1"/>
                <w:numId w:val="45"/>
              </w:numPr>
              <w:snapToGrid w:val="0"/>
              <w:spacing w:before="0" w:beforeAutospacing="0" w:after="0"/>
              <w:ind w:left="1364"/>
              <w:rPr>
                <w:rFonts w:eastAsia="DengXian"/>
                <w:kern w:val="2"/>
                <w:sz w:val="20"/>
                <w:szCs w:val="20"/>
                <w:lang w:eastAsia="ja-JP"/>
              </w:rPr>
            </w:pPr>
            <w:r w:rsidRPr="003F3C7D">
              <w:rPr>
                <w:rFonts w:eastAsia="Malgun Gothic"/>
                <w:kern w:val="2"/>
                <w:sz w:val="20"/>
                <w:szCs w:val="20"/>
                <w:lang w:eastAsia="ko-KR"/>
              </w:rPr>
              <w:t>RAN4 to confirm Y (g</w:t>
            </w:r>
            <w:r w:rsidRPr="003F3C7D">
              <w:rPr>
                <w:rFonts w:eastAsia="DengXian"/>
                <w:kern w:val="2"/>
                <w:sz w:val="20"/>
                <w:szCs w:val="20"/>
              </w:rPr>
              <w:t>ain difference between fine and rough beams</w:t>
            </w:r>
            <w:r w:rsidRPr="003F3C7D">
              <w:rPr>
                <w:rFonts w:eastAsia="Malgun Gothic"/>
                <w:kern w:val="2"/>
                <w:sz w:val="20"/>
                <w:szCs w:val="20"/>
                <w:lang w:eastAsia="ko-KR"/>
              </w:rPr>
              <w:t>) = 0</w:t>
            </w:r>
          </w:p>
          <w:p w14:paraId="4CD8C25F" w14:textId="77777777" w:rsidR="003F3C7D" w:rsidRPr="003F3C7D" w:rsidRDefault="003F3C7D" w:rsidP="003F3C7D">
            <w:pPr>
              <w:numPr>
                <w:ilvl w:val="0"/>
                <w:numId w:val="45"/>
              </w:numPr>
              <w:snapToGrid w:val="0"/>
              <w:spacing w:before="0" w:beforeAutospacing="0" w:after="0"/>
              <w:ind w:left="644"/>
              <w:rPr>
                <w:rFonts w:eastAsia="DengXian"/>
                <w:kern w:val="2"/>
                <w:sz w:val="20"/>
                <w:szCs w:val="20"/>
                <w:lang w:eastAsia="ja-JP"/>
              </w:rPr>
            </w:pPr>
            <w:r w:rsidRPr="003F3C7D">
              <w:rPr>
                <w:rFonts w:eastAsia="DengXian"/>
                <w:kern w:val="2"/>
                <w:sz w:val="20"/>
                <w:szCs w:val="20"/>
                <w:lang w:eastAsia="ja-JP"/>
              </w:rPr>
              <w:t>Remove the bracket for the following 1dB relaxation:</w:t>
            </w:r>
          </w:p>
          <w:p w14:paraId="12E7D228" w14:textId="40294C21" w:rsidR="003F3C7D" w:rsidRPr="003F3C7D" w:rsidRDefault="003F3C7D" w:rsidP="003F3C7D">
            <w:pPr>
              <w:numPr>
                <w:ilvl w:val="1"/>
                <w:numId w:val="45"/>
              </w:numPr>
              <w:snapToGrid w:val="0"/>
              <w:spacing w:before="0" w:beforeAutospacing="0" w:after="0"/>
              <w:ind w:left="1364"/>
              <w:rPr>
                <w:rFonts w:eastAsia="DengXian"/>
                <w:kern w:val="2"/>
                <w:sz w:val="20"/>
                <w:szCs w:val="20"/>
                <w:lang w:eastAsia="ja-JP"/>
              </w:rPr>
            </w:pPr>
            <w:r w:rsidRPr="003F3C7D">
              <w:rPr>
                <w:rFonts w:eastAsia="DengXian"/>
                <w:kern w:val="2"/>
                <w:sz w:val="20"/>
                <w:szCs w:val="20"/>
                <w:lang w:eastAsia="ja-JP"/>
              </w:rPr>
              <w:t>The existing absolute measurement accuracy requirement and relative measurement accuracy requirement of TN FR2 (including intra-frequency and inter-frequency) can be applied for NTN UE above 10GHz with 1dB relaxation</w:t>
            </w:r>
          </w:p>
          <w:p w14:paraId="62760C44" w14:textId="77777777" w:rsidR="003F3C7D" w:rsidRPr="003F3C7D" w:rsidRDefault="003F3C7D" w:rsidP="003F3C7D">
            <w:pPr>
              <w:spacing w:before="0" w:beforeAutospacing="0" w:after="0"/>
              <w:rPr>
                <w:b/>
                <w:bCs/>
                <w:iCs/>
                <w:sz w:val="20"/>
                <w:szCs w:val="20"/>
              </w:rPr>
            </w:pPr>
            <w:bookmarkStart w:id="3" w:name="_Hlk175235723"/>
            <w:r w:rsidRPr="003F3C7D">
              <w:rPr>
                <w:b/>
                <w:bCs/>
                <w:iCs/>
                <w:sz w:val="20"/>
                <w:szCs w:val="20"/>
                <w:highlight w:val="green"/>
              </w:rPr>
              <w:t>Agreement (ad-hoc):</w:t>
            </w:r>
          </w:p>
          <w:bookmarkEnd w:id="3"/>
          <w:p w14:paraId="65C16E55" w14:textId="77777777" w:rsidR="003F3C7D" w:rsidRPr="003F3C7D" w:rsidRDefault="003F3C7D" w:rsidP="003F3C7D">
            <w:pPr>
              <w:numPr>
                <w:ilvl w:val="0"/>
                <w:numId w:val="45"/>
              </w:numPr>
              <w:snapToGrid w:val="0"/>
              <w:spacing w:before="0" w:beforeAutospacing="0" w:after="0"/>
              <w:ind w:left="644"/>
              <w:rPr>
                <w:rFonts w:eastAsia="DengXian"/>
                <w:kern w:val="2"/>
                <w:sz w:val="20"/>
                <w:szCs w:val="20"/>
              </w:rPr>
            </w:pPr>
            <w:r w:rsidRPr="003F3C7D">
              <w:rPr>
                <w:rFonts w:eastAsia="DengXian"/>
                <w:kern w:val="2"/>
                <w:sz w:val="20"/>
                <w:szCs w:val="20"/>
              </w:rPr>
              <w:t>For RLM for FR2-NTN, RAN4 to discuss the following options</w:t>
            </w:r>
          </w:p>
          <w:p w14:paraId="08B2B3A5" w14:textId="3487FF33" w:rsidR="003F3C7D" w:rsidRPr="003F3C7D" w:rsidRDefault="003F3C7D" w:rsidP="003F3C7D">
            <w:pPr>
              <w:numPr>
                <w:ilvl w:val="1"/>
                <w:numId w:val="45"/>
              </w:numPr>
              <w:snapToGrid w:val="0"/>
              <w:spacing w:before="0" w:beforeAutospacing="0" w:after="0"/>
              <w:ind w:left="1364"/>
              <w:rPr>
                <w:rFonts w:eastAsia="Malgun Gothic"/>
                <w:kern w:val="2"/>
                <w:sz w:val="20"/>
                <w:szCs w:val="20"/>
                <w:lang w:eastAsia="ko-KR"/>
              </w:rPr>
            </w:pPr>
            <w:r w:rsidRPr="003F3C7D">
              <w:rPr>
                <w:rFonts w:eastAsia="Malgun Gothic"/>
                <w:kern w:val="2"/>
                <w:sz w:val="20"/>
                <w:szCs w:val="20"/>
                <w:lang w:eastAsia="ko-KR"/>
              </w:rPr>
              <w:t>Update core requirements (PDCCH parameters, evaluation period) as for R17 RedCap</w:t>
            </w:r>
          </w:p>
          <w:p w14:paraId="4AA26967" w14:textId="77777777" w:rsidR="003F3C7D" w:rsidRPr="003F3C7D" w:rsidRDefault="003F3C7D" w:rsidP="003F3C7D">
            <w:pPr>
              <w:spacing w:before="0" w:beforeAutospacing="0" w:after="0"/>
              <w:rPr>
                <w:b/>
                <w:bCs/>
                <w:iCs/>
                <w:sz w:val="20"/>
                <w:szCs w:val="20"/>
              </w:rPr>
            </w:pPr>
            <w:r w:rsidRPr="003F3C7D">
              <w:rPr>
                <w:b/>
                <w:bCs/>
                <w:iCs/>
                <w:sz w:val="20"/>
                <w:szCs w:val="20"/>
                <w:highlight w:val="green"/>
              </w:rPr>
              <w:t>Agreement (ad-hoc):</w:t>
            </w:r>
          </w:p>
          <w:p w14:paraId="53B2718E" w14:textId="77777777" w:rsidR="003F3C7D" w:rsidRPr="007700B3" w:rsidRDefault="003F3C7D" w:rsidP="003F3C7D">
            <w:pPr>
              <w:numPr>
                <w:ilvl w:val="0"/>
                <w:numId w:val="45"/>
              </w:numPr>
              <w:snapToGrid w:val="0"/>
              <w:spacing w:before="0" w:beforeAutospacing="0" w:after="0"/>
              <w:ind w:left="644"/>
              <w:rPr>
                <w:rFonts w:eastAsia="DengXian"/>
                <w:kern w:val="2"/>
                <w:sz w:val="20"/>
                <w:szCs w:val="20"/>
                <w:highlight w:val="yellow"/>
              </w:rPr>
            </w:pPr>
            <w:r w:rsidRPr="007700B3">
              <w:rPr>
                <w:rFonts w:eastAsia="DengXian"/>
                <w:kern w:val="2"/>
                <w:sz w:val="20"/>
                <w:szCs w:val="20"/>
                <w:highlight w:val="yellow"/>
              </w:rPr>
              <w:t xml:space="preserve">Value of </w:t>
            </w:r>
            <w:proofErr w:type="spellStart"/>
            <w:r w:rsidRPr="007700B3">
              <w:rPr>
                <w:rFonts w:eastAsia="DengXian"/>
                <w:kern w:val="2"/>
                <w:sz w:val="20"/>
                <w:szCs w:val="20"/>
                <w:highlight w:val="yellow"/>
              </w:rPr>
              <w:t>Gmin</w:t>
            </w:r>
            <w:proofErr w:type="spellEnd"/>
            <w:r w:rsidRPr="007700B3">
              <w:rPr>
                <w:rFonts w:eastAsia="DengXian"/>
                <w:kern w:val="2"/>
                <w:sz w:val="20"/>
                <w:szCs w:val="20"/>
                <w:highlight w:val="yellow"/>
              </w:rPr>
              <w:t>:</w:t>
            </w:r>
          </w:p>
          <w:p w14:paraId="7FBB25F4" w14:textId="77777777" w:rsidR="003F3C7D" w:rsidRPr="007700B3" w:rsidRDefault="003F3C7D" w:rsidP="003F3C7D">
            <w:pPr>
              <w:numPr>
                <w:ilvl w:val="1"/>
                <w:numId w:val="45"/>
              </w:numPr>
              <w:snapToGrid w:val="0"/>
              <w:spacing w:before="0" w:beforeAutospacing="0" w:after="0"/>
              <w:ind w:left="1364"/>
              <w:rPr>
                <w:rFonts w:eastAsia="DengXian"/>
                <w:kern w:val="2"/>
                <w:sz w:val="20"/>
                <w:szCs w:val="20"/>
                <w:highlight w:val="yellow"/>
              </w:rPr>
            </w:pPr>
            <w:r w:rsidRPr="007700B3">
              <w:rPr>
                <w:rFonts w:eastAsia="DengXian"/>
                <w:kern w:val="2"/>
                <w:sz w:val="20"/>
                <w:szCs w:val="20"/>
                <w:highlight w:val="yellow"/>
              </w:rPr>
              <w:t>Further discuss the detailed parameter assumptions to be aligned with core specification TS 38.101-5 and TR 38.863.</w:t>
            </w:r>
          </w:p>
          <w:p w14:paraId="6850BBE2" w14:textId="79063AC5" w:rsidR="003F3C7D" w:rsidRPr="007700B3" w:rsidRDefault="003F3C7D" w:rsidP="003F3C7D">
            <w:pPr>
              <w:numPr>
                <w:ilvl w:val="1"/>
                <w:numId w:val="45"/>
              </w:numPr>
              <w:snapToGrid w:val="0"/>
              <w:spacing w:before="0" w:beforeAutospacing="0" w:after="0"/>
              <w:ind w:left="1364"/>
              <w:rPr>
                <w:rFonts w:eastAsia="DengXian"/>
                <w:kern w:val="2"/>
                <w:sz w:val="20"/>
                <w:szCs w:val="20"/>
                <w:highlight w:val="yellow"/>
              </w:rPr>
            </w:pPr>
            <w:r w:rsidRPr="007700B3">
              <w:rPr>
                <w:rFonts w:eastAsia="DengXian" w:hint="eastAsia"/>
                <w:kern w:val="2"/>
                <w:sz w:val="20"/>
                <w:szCs w:val="20"/>
                <w:highlight w:val="yellow"/>
              </w:rPr>
              <w:t>S</w:t>
            </w:r>
            <w:r w:rsidRPr="007700B3">
              <w:rPr>
                <w:rFonts w:eastAsia="DengXian"/>
                <w:kern w:val="2"/>
                <w:sz w:val="20"/>
                <w:szCs w:val="20"/>
                <w:highlight w:val="yellow"/>
              </w:rPr>
              <w:t>eparate values will be introduced for NTN VSAT Type 3 and other VSAT types.</w:t>
            </w:r>
          </w:p>
          <w:p w14:paraId="7C44C4AF" w14:textId="77777777" w:rsidR="003F3C7D" w:rsidRPr="003F3C7D" w:rsidRDefault="003F3C7D" w:rsidP="003F3C7D">
            <w:pPr>
              <w:spacing w:before="0" w:beforeAutospacing="0" w:after="0"/>
              <w:rPr>
                <w:b/>
                <w:bCs/>
                <w:iCs/>
                <w:sz w:val="20"/>
                <w:szCs w:val="20"/>
              </w:rPr>
            </w:pPr>
            <w:r w:rsidRPr="003F3C7D">
              <w:rPr>
                <w:b/>
                <w:bCs/>
                <w:iCs/>
                <w:sz w:val="20"/>
                <w:szCs w:val="20"/>
                <w:highlight w:val="green"/>
              </w:rPr>
              <w:t>Agreement (ad-hoc):</w:t>
            </w:r>
          </w:p>
          <w:p w14:paraId="753A69E1" w14:textId="77777777" w:rsidR="003F3C7D" w:rsidRPr="007700B3" w:rsidRDefault="003F3C7D" w:rsidP="003F3C7D">
            <w:pPr>
              <w:numPr>
                <w:ilvl w:val="0"/>
                <w:numId w:val="45"/>
              </w:numPr>
              <w:snapToGrid w:val="0"/>
              <w:spacing w:before="0" w:beforeAutospacing="0" w:after="0"/>
              <w:ind w:left="644"/>
              <w:rPr>
                <w:rFonts w:eastAsia="DengXian"/>
                <w:kern w:val="2"/>
                <w:sz w:val="20"/>
                <w:szCs w:val="20"/>
                <w:highlight w:val="yellow"/>
              </w:rPr>
            </w:pPr>
            <w:proofErr w:type="spellStart"/>
            <w:r w:rsidRPr="007700B3">
              <w:rPr>
                <w:rFonts w:eastAsia="DengXian"/>
                <w:kern w:val="2"/>
                <w:sz w:val="20"/>
                <w:szCs w:val="20"/>
                <w:highlight w:val="yellow"/>
              </w:rPr>
              <w:t>Gmax</w:t>
            </w:r>
            <w:proofErr w:type="spellEnd"/>
            <w:r w:rsidRPr="007700B3">
              <w:rPr>
                <w:rFonts w:eastAsia="DengXian"/>
                <w:kern w:val="2"/>
                <w:sz w:val="20"/>
                <w:szCs w:val="20"/>
                <w:highlight w:val="yellow"/>
              </w:rPr>
              <w:t xml:space="preserve"> leave to be declaration basis. </w:t>
            </w:r>
          </w:p>
          <w:p w14:paraId="6880A651" w14:textId="1E57B8B9" w:rsidR="00AC00CE" w:rsidRPr="003F3C7D" w:rsidRDefault="003F3C7D" w:rsidP="003F3C7D">
            <w:pPr>
              <w:numPr>
                <w:ilvl w:val="1"/>
                <w:numId w:val="45"/>
              </w:numPr>
              <w:snapToGrid w:val="0"/>
              <w:spacing w:before="0" w:beforeAutospacing="0" w:after="0"/>
              <w:ind w:left="1364"/>
              <w:rPr>
                <w:rFonts w:eastAsia="Malgun Gothic"/>
                <w:kern w:val="2"/>
                <w:sz w:val="21"/>
                <w:szCs w:val="21"/>
                <w:lang w:eastAsia="ko-KR"/>
              </w:rPr>
            </w:pPr>
            <w:r w:rsidRPr="007700B3">
              <w:rPr>
                <w:rFonts w:eastAsia="Malgun Gothic"/>
                <w:kern w:val="2"/>
                <w:sz w:val="20"/>
                <w:szCs w:val="20"/>
                <w:highlight w:val="yellow"/>
                <w:lang w:eastAsia="ko-KR"/>
              </w:rPr>
              <w:t xml:space="preserve">Note: FFS whether RAN4 needs to specify the possible range for </w:t>
            </w:r>
            <w:proofErr w:type="spellStart"/>
            <w:r w:rsidRPr="007700B3">
              <w:rPr>
                <w:rFonts w:eastAsia="Malgun Gothic"/>
                <w:kern w:val="2"/>
                <w:sz w:val="20"/>
                <w:szCs w:val="20"/>
                <w:highlight w:val="yellow"/>
                <w:lang w:eastAsia="ko-KR"/>
              </w:rPr>
              <w:t>Gmax</w:t>
            </w:r>
            <w:proofErr w:type="spellEnd"/>
            <w:r w:rsidRPr="00BA3F26">
              <w:rPr>
                <w:rFonts w:eastAsia="Malgun Gothic"/>
                <w:kern w:val="2"/>
                <w:sz w:val="21"/>
                <w:szCs w:val="21"/>
                <w:lang w:eastAsia="ko-KR"/>
              </w:rPr>
              <w:t xml:space="preserve"> </w:t>
            </w:r>
          </w:p>
        </w:tc>
      </w:tr>
    </w:tbl>
    <w:p w14:paraId="687F9895" w14:textId="1EF5F8C1" w:rsidR="00EB37BC" w:rsidRPr="00EE14B6" w:rsidRDefault="00BA52AC" w:rsidP="00590D8B">
      <w:pPr>
        <w:jc w:val="both"/>
        <w:rPr>
          <w:lang w:val="en-GB" w:eastAsia="x-none"/>
        </w:rPr>
      </w:pPr>
      <w:r w:rsidRPr="00EE14B6">
        <w:rPr>
          <w:lang w:val="en-GB" w:eastAsia="x-none"/>
        </w:rPr>
        <w:t>In the legacy TN FR2 accuracy requirement, t</w:t>
      </w:r>
      <w:r w:rsidR="00EB37BC" w:rsidRPr="00EE14B6">
        <w:rPr>
          <w:lang w:val="en-GB" w:eastAsia="x-none"/>
        </w:rPr>
        <w:t>he minimum SSB power is determined based on the following criteria:</w:t>
      </w:r>
    </w:p>
    <w:tbl>
      <w:tblPr>
        <w:tblStyle w:val="TableGrid"/>
        <w:tblW w:w="0" w:type="auto"/>
        <w:tblLook w:val="04A0" w:firstRow="1" w:lastRow="0" w:firstColumn="1" w:lastColumn="0" w:noHBand="0" w:noVBand="1"/>
      </w:tblPr>
      <w:tblGrid>
        <w:gridCol w:w="9089"/>
      </w:tblGrid>
      <w:tr w:rsidR="00EB37BC" w14:paraId="78A1D3C4" w14:textId="77777777" w:rsidTr="00E35462">
        <w:trPr>
          <w:trHeight w:val="6061"/>
        </w:trPr>
        <w:tc>
          <w:tcPr>
            <w:tcW w:w="9089" w:type="dxa"/>
          </w:tcPr>
          <w:p w14:paraId="1D2A3E39" w14:textId="72C679A9" w:rsidR="00EB37BC" w:rsidRDefault="00590D8B" w:rsidP="00226190">
            <w:pPr>
              <w:jc w:val="both"/>
              <w:rPr>
                <w:lang w:val="en-GB" w:eastAsia="x-none"/>
              </w:rPr>
            </w:pPr>
            <w:r>
              <w:rPr>
                <w:noProof/>
                <w:lang w:val="en-GB" w:eastAsia="x-none"/>
              </w:rPr>
              <w:lastRenderedPageBreak/>
              <w:drawing>
                <wp:inline distT="0" distB="0" distL="0" distR="0" wp14:anchorId="433642E7" wp14:editId="0C51B8AA">
                  <wp:extent cx="5378450" cy="4367920"/>
                  <wp:effectExtent l="0" t="0" r="0" b="1270"/>
                  <wp:docPr id="416119443" name="Picture 6" descr="A document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119443" name="Picture 6" descr="A document with text and number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19006" cy="4400856"/>
                          </a:xfrm>
                          <a:prstGeom prst="rect">
                            <a:avLst/>
                          </a:prstGeom>
                        </pic:spPr>
                      </pic:pic>
                    </a:graphicData>
                  </a:graphic>
                </wp:inline>
              </w:drawing>
            </w:r>
          </w:p>
        </w:tc>
      </w:tr>
    </w:tbl>
    <w:p w14:paraId="4580FE3A" w14:textId="2AAAB9DC" w:rsidR="00BE537E" w:rsidRDefault="00590D8B" w:rsidP="00590D8B">
      <w:pPr>
        <w:jc w:val="both"/>
      </w:pPr>
      <w:r w:rsidRPr="00590D8B">
        <w:rPr>
          <w:lang w:val="en-GB" w:eastAsia="x-none"/>
        </w:rPr>
        <w:t xml:space="preserve">In NTN above 10GHz, the same principle can be applied to derive the mini SSB_RP, which is based on the equation </w:t>
      </w:r>
      <w:r w:rsidR="007700B3">
        <w:t>from TS38.863</w:t>
      </w:r>
      <w:r w:rsidR="00BE537E">
        <w:t>section 7.4.3.3.2</w:t>
      </w:r>
      <w:r w:rsidR="007700B3">
        <w:t>,</w:t>
      </w:r>
    </w:p>
    <w:tbl>
      <w:tblPr>
        <w:tblStyle w:val="TableGrid"/>
        <w:tblW w:w="0" w:type="auto"/>
        <w:tblLook w:val="04A0" w:firstRow="1" w:lastRow="0" w:firstColumn="1" w:lastColumn="0" w:noHBand="0" w:noVBand="1"/>
      </w:tblPr>
      <w:tblGrid>
        <w:gridCol w:w="9730"/>
      </w:tblGrid>
      <w:tr w:rsidR="00BE537E" w14:paraId="673F89B5" w14:textId="77777777" w:rsidTr="00BE537E">
        <w:tc>
          <w:tcPr>
            <w:tcW w:w="9730" w:type="dxa"/>
          </w:tcPr>
          <w:p w14:paraId="2BFB6ADE" w14:textId="1C6359A7" w:rsidR="00BE537E" w:rsidRDefault="00BE537E" w:rsidP="00590D8B">
            <w:pPr>
              <w:jc w:val="both"/>
            </w:pPr>
            <w:r>
              <w:rPr>
                <w:noProof/>
              </w:rPr>
              <w:drawing>
                <wp:inline distT="0" distB="0" distL="0" distR="0" wp14:anchorId="2A730DB9" wp14:editId="1032134A">
                  <wp:extent cx="6184900" cy="2609850"/>
                  <wp:effectExtent l="0" t="0" r="0" b="6350"/>
                  <wp:docPr id="717021112"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21112" name="Picture 3" descr="A white paper with black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84900" cy="2609850"/>
                          </a:xfrm>
                          <a:prstGeom prst="rect">
                            <a:avLst/>
                          </a:prstGeom>
                        </pic:spPr>
                      </pic:pic>
                    </a:graphicData>
                  </a:graphic>
                </wp:inline>
              </w:drawing>
            </w:r>
          </w:p>
        </w:tc>
      </w:tr>
    </w:tbl>
    <w:p w14:paraId="02AACD58" w14:textId="77777777" w:rsidR="00BE537E" w:rsidRDefault="00BE537E" w:rsidP="00590D8B">
      <w:pPr>
        <w:jc w:val="both"/>
      </w:pPr>
    </w:p>
    <w:p w14:paraId="0CA4C05B" w14:textId="27740EBE" w:rsidR="00BE537E" w:rsidRDefault="00BE537E" w:rsidP="00590D8B">
      <w:pPr>
        <w:jc w:val="both"/>
      </w:pPr>
      <w:r w:rsidRPr="002E3D7F">
        <w:rPr>
          <w:noProof/>
        </w:rPr>
        <w:lastRenderedPageBreak/>
        <w:drawing>
          <wp:inline distT="0" distB="0" distL="0" distR="0" wp14:anchorId="2A6664E5" wp14:editId="7D454875">
            <wp:extent cx="5343181" cy="1870113"/>
            <wp:effectExtent l="0" t="0" r="3810" b="0"/>
            <wp:docPr id="148467055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670551" name="Picture 1" descr="A screenshot of a computer&#10;&#10;Description automatically generated"/>
                    <pic:cNvPicPr/>
                  </pic:nvPicPr>
                  <pic:blipFill>
                    <a:blip r:embed="rId10"/>
                    <a:stretch>
                      <a:fillRect/>
                    </a:stretch>
                  </pic:blipFill>
                  <pic:spPr>
                    <a:xfrm>
                      <a:off x="0" y="0"/>
                      <a:ext cx="5364620" cy="1877617"/>
                    </a:xfrm>
                    <a:prstGeom prst="rect">
                      <a:avLst/>
                    </a:prstGeom>
                  </pic:spPr>
                </pic:pic>
              </a:graphicData>
            </a:graphic>
          </wp:inline>
        </w:drawing>
      </w:r>
    </w:p>
    <w:p w14:paraId="68FD1CB7" w14:textId="1785E2E4" w:rsidR="00773B3E" w:rsidRDefault="003B52C4" w:rsidP="003B52C4">
      <w:pPr>
        <w:pStyle w:val="B10"/>
        <w:spacing w:before="0" w:beforeAutospacing="0"/>
        <w:ind w:left="0" w:firstLine="0"/>
      </w:pPr>
      <w:r>
        <w:t>Based on the above analysis of equation in TS38.863, t</w:t>
      </w:r>
      <w:r w:rsidR="00773B3E" w:rsidRPr="00773B3E">
        <w:t xml:space="preserve">o derive the </w:t>
      </w:r>
      <w:r w:rsidR="007A7A53">
        <w:t xml:space="preserve">Rx </w:t>
      </w:r>
      <w:r w:rsidR="00773B3E" w:rsidRPr="00773B3E">
        <w:t>beam gain</w:t>
      </w:r>
      <w:r w:rsidR="00773B3E">
        <w:t>, we may consider the following formulas,</w:t>
      </w:r>
    </w:p>
    <w:p w14:paraId="45276D9D" w14:textId="14A4E8A5" w:rsidR="00187A7A" w:rsidRDefault="00773B3E" w:rsidP="00187A7A">
      <w:pPr>
        <w:pStyle w:val="B10"/>
        <w:numPr>
          <w:ilvl w:val="0"/>
          <w:numId w:val="59"/>
        </w:numPr>
        <w:spacing w:before="0" w:beforeAutospacing="0"/>
      </w:pPr>
      <w:r w:rsidRPr="00773B3E">
        <w:t xml:space="preserve">REFSENS_50MHz = -174 dBm/Hz + 10log10(50MHz) + NF + SNR (QPSK) + IM - </w:t>
      </w:r>
      <w:proofErr w:type="spellStart"/>
      <w:r w:rsidRPr="00773B3E">
        <w:t>Ant_Gain</w:t>
      </w:r>
      <w:proofErr w:type="spellEnd"/>
    </w:p>
    <w:p w14:paraId="4C2AAA5B" w14:textId="77777777" w:rsidR="00187A7A" w:rsidRDefault="00773B3E" w:rsidP="00187A7A">
      <w:pPr>
        <w:pStyle w:val="B10"/>
        <w:spacing w:before="0" w:beforeAutospacing="0"/>
        <w:ind w:left="0" w:firstLine="0"/>
      </w:pPr>
      <w:r w:rsidRPr="00773B3E">
        <w:t xml:space="preserve">Therefore </w:t>
      </w:r>
      <w:proofErr w:type="spellStart"/>
      <w:r w:rsidRPr="00773B3E">
        <w:t>Ant_Gain</w:t>
      </w:r>
      <w:proofErr w:type="spellEnd"/>
      <w:r w:rsidRPr="00773B3E">
        <w:t xml:space="preserve"> can be derived as,</w:t>
      </w:r>
    </w:p>
    <w:p w14:paraId="3968CBE6" w14:textId="03C2200B" w:rsidR="00187A7A" w:rsidRDefault="00773B3E" w:rsidP="00187A7A">
      <w:pPr>
        <w:pStyle w:val="B10"/>
        <w:numPr>
          <w:ilvl w:val="0"/>
          <w:numId w:val="59"/>
        </w:numPr>
        <w:spacing w:before="0" w:beforeAutospacing="0"/>
      </w:pPr>
      <w:proofErr w:type="spellStart"/>
      <w:r w:rsidRPr="00773B3E">
        <w:t>Ant_Gain</w:t>
      </w:r>
      <w:proofErr w:type="spellEnd"/>
      <w:r w:rsidRPr="00773B3E">
        <w:t xml:space="preserve"> = -174 dBm/Hz + 10log10(50MHz) + NF + SNR (QPSK) + IM - REFSENS_50MHz</w:t>
      </w:r>
    </w:p>
    <w:p w14:paraId="206917ED" w14:textId="7AC7AF45" w:rsidR="00B40F4A" w:rsidRDefault="00773B3E" w:rsidP="00187A7A">
      <w:pPr>
        <w:pStyle w:val="B10"/>
        <w:spacing w:before="0" w:beforeAutospacing="0"/>
        <w:ind w:left="0" w:firstLine="0"/>
      </w:pPr>
      <w:r w:rsidRPr="00773B3E">
        <w:t>For FR2-NTN, two REFSENS_50MHz values have been specified</w:t>
      </w:r>
      <w:r w:rsidR="0021369B">
        <w:rPr>
          <w:rFonts w:hint="eastAsia"/>
          <w:lang w:eastAsia="zh-CN"/>
        </w:rPr>
        <w:t xml:space="preserve"> in TS38.101-5</w:t>
      </w:r>
      <w:r w:rsidRPr="00773B3E">
        <w:t>,</w:t>
      </w:r>
      <w:r w:rsidR="0021369B">
        <w:rPr>
          <w:noProof/>
        </w:rPr>
        <w:drawing>
          <wp:inline distT="0" distB="0" distL="0" distR="0" wp14:anchorId="2CE9A209" wp14:editId="7B3DE0BF">
            <wp:extent cx="6184900" cy="1217295"/>
            <wp:effectExtent l="0" t="0" r="0" b="1905"/>
            <wp:docPr id="1053628306" name="Picture 4"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628306" name="Picture 4" descr="A white rectangular object with black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84900" cy="1217295"/>
                    </a:xfrm>
                    <a:prstGeom prst="rect">
                      <a:avLst/>
                    </a:prstGeom>
                  </pic:spPr>
                </pic:pic>
              </a:graphicData>
            </a:graphic>
          </wp:inline>
        </w:drawing>
      </w:r>
    </w:p>
    <w:p w14:paraId="060660AF" w14:textId="781942D5" w:rsidR="00187A7A" w:rsidRPr="00187A7A" w:rsidRDefault="00187A7A" w:rsidP="00187A7A">
      <w:pPr>
        <w:pStyle w:val="B10"/>
        <w:numPr>
          <w:ilvl w:val="0"/>
          <w:numId w:val="59"/>
        </w:numPr>
        <w:spacing w:before="0" w:beforeAutospacing="0"/>
        <w:rPr>
          <w:lang w:eastAsia="zh-CN"/>
        </w:rPr>
      </w:pPr>
      <w:r>
        <w:t>-</w:t>
      </w:r>
      <w:r w:rsidR="0021369B">
        <w:rPr>
          <w:rFonts w:hint="eastAsia"/>
          <w:lang w:eastAsia="zh-CN"/>
        </w:rPr>
        <w:t>122</w:t>
      </w:r>
      <w:r w:rsidR="00773B3E" w:rsidRPr="00773B3E">
        <w:t xml:space="preserve"> dBm </w:t>
      </w:r>
      <w:r>
        <w:t xml:space="preserve">for </w:t>
      </w:r>
      <w:r w:rsidR="008D2604">
        <w:rPr>
          <w:rFonts w:hint="eastAsia"/>
          <w:lang w:eastAsia="zh-CN"/>
        </w:rPr>
        <w:t>VSA</w:t>
      </w:r>
      <w:r w:rsidR="008D2604">
        <w:rPr>
          <w:lang w:eastAsia="zh-CN"/>
        </w:rPr>
        <w:t>T type 1/2/4/5</w:t>
      </w:r>
    </w:p>
    <w:p w14:paraId="2CA4CBAF" w14:textId="6D6D3529" w:rsidR="00187A7A" w:rsidRPr="00187A7A" w:rsidRDefault="00773B3E" w:rsidP="00187A7A">
      <w:pPr>
        <w:pStyle w:val="B10"/>
        <w:numPr>
          <w:ilvl w:val="0"/>
          <w:numId w:val="59"/>
        </w:numPr>
        <w:spacing w:before="0" w:beforeAutospacing="0"/>
      </w:pPr>
      <w:r w:rsidRPr="00773B3E">
        <w:t xml:space="preserve">-115.6 dBm </w:t>
      </w:r>
      <w:r w:rsidR="00187A7A">
        <w:t xml:space="preserve">for </w:t>
      </w:r>
      <w:r w:rsidR="008D2604">
        <w:t>VSAT type 3</w:t>
      </w:r>
    </w:p>
    <w:p w14:paraId="56D2916D" w14:textId="6D101B06" w:rsidR="003B52C4" w:rsidRDefault="00773B3E" w:rsidP="003B52C4">
      <w:pPr>
        <w:pStyle w:val="B10"/>
        <w:ind w:left="0" w:hanging="14"/>
        <w:rPr>
          <w:lang w:eastAsia="zh-CN"/>
        </w:rPr>
      </w:pPr>
      <w:r w:rsidRPr="00773B3E">
        <w:t>With the following parameter assumptions,</w:t>
      </w:r>
    </w:p>
    <w:p w14:paraId="50A11548" w14:textId="164D1EBA" w:rsidR="00AE043B" w:rsidRDefault="003B52C4" w:rsidP="00AE043B">
      <w:pPr>
        <w:pStyle w:val="B10"/>
        <w:numPr>
          <w:ilvl w:val="0"/>
          <w:numId w:val="59"/>
        </w:numPr>
        <w:spacing w:before="0" w:beforeAutospacing="0"/>
      </w:pPr>
      <w:r>
        <w:t>NF=10*log10 ((T+T0)/T0)</w:t>
      </w:r>
      <w:r w:rsidR="00AE043B">
        <w:t xml:space="preserve"> = 6dB for type 3 and 2.5dB for other types</w:t>
      </w:r>
      <w:r>
        <w:rPr>
          <w:lang w:eastAsia="zh-CN"/>
        </w:rPr>
        <w:t>,</w:t>
      </w:r>
      <w:r>
        <w:t xml:space="preserve"> </w:t>
      </w:r>
      <w:r w:rsidR="00B40F4A">
        <w:rPr>
          <w:lang w:val="en-GB"/>
        </w:rPr>
        <w:t>since antenna temperature is TBD in table 6a.2.2.2-1</w:t>
      </w:r>
      <w:r w:rsidR="00AE043B">
        <w:rPr>
          <w:lang w:val="en-GB"/>
        </w:rPr>
        <w:t xml:space="preserve"> (Rx chain temperature is unknown)</w:t>
      </w:r>
      <w:r w:rsidR="00B40F4A">
        <w:rPr>
          <w:lang w:val="en-GB"/>
        </w:rPr>
        <w:t>,</w:t>
      </w:r>
      <w:r w:rsidR="00452E8F">
        <w:rPr>
          <w:lang w:val="en-GB"/>
        </w:rPr>
        <w:t xml:space="preserve"> </w:t>
      </w:r>
      <w:r w:rsidR="00AE043B">
        <w:rPr>
          <w:lang w:val="en-GB"/>
        </w:rPr>
        <w:t xml:space="preserve">thus </w:t>
      </w:r>
      <w:r w:rsidR="00452E8F">
        <w:rPr>
          <w:lang w:val="en-GB"/>
        </w:rPr>
        <w:t xml:space="preserve">we </w:t>
      </w:r>
      <w:r w:rsidR="00AE043B">
        <w:rPr>
          <w:lang w:val="en-GB"/>
        </w:rPr>
        <w:t>used the agreements from R4-2317648</w:t>
      </w:r>
      <w:r w:rsidR="00452E8F">
        <w:rPr>
          <w:lang w:val="en-GB"/>
        </w:rPr>
        <w:t>.</w:t>
      </w:r>
    </w:p>
    <w:tbl>
      <w:tblPr>
        <w:tblStyle w:val="TableGrid"/>
        <w:tblW w:w="0" w:type="auto"/>
        <w:tblInd w:w="568" w:type="dxa"/>
        <w:tblLook w:val="04A0" w:firstRow="1" w:lastRow="0" w:firstColumn="1" w:lastColumn="0" w:noHBand="0" w:noVBand="1"/>
      </w:tblPr>
      <w:tblGrid>
        <w:gridCol w:w="9162"/>
      </w:tblGrid>
      <w:tr w:rsidR="00AE043B" w14:paraId="542F4917" w14:textId="77777777" w:rsidTr="00AE043B">
        <w:tc>
          <w:tcPr>
            <w:tcW w:w="9730" w:type="dxa"/>
          </w:tcPr>
          <w:p w14:paraId="6086A256" w14:textId="77777777" w:rsidR="00AE043B" w:rsidRDefault="00AE043B" w:rsidP="00AE043B">
            <w:pPr>
              <w:spacing w:before="0" w:beforeAutospacing="0"/>
              <w:rPr>
                <w:b/>
                <w:bCs/>
                <w:color w:val="5B9BD5" w:themeColor="accent1"/>
                <w:sz w:val="22"/>
                <w:szCs w:val="22"/>
              </w:rPr>
            </w:pPr>
            <w:r>
              <w:rPr>
                <w:rFonts w:hint="eastAsia"/>
                <w:b/>
                <w:bCs/>
                <w:color w:val="5B9BD5" w:themeColor="accent1"/>
                <w:sz w:val="22"/>
                <w:szCs w:val="22"/>
              </w:rPr>
              <w:t>Issue 1-4: UE types</w:t>
            </w:r>
          </w:p>
          <w:p w14:paraId="280EA552" w14:textId="77777777" w:rsidR="00AE043B" w:rsidRDefault="00AE043B" w:rsidP="00AE043B">
            <w:pPr>
              <w:pStyle w:val="ListParagraph"/>
              <w:spacing w:before="0" w:beforeAutospacing="0" w:line="240" w:lineRule="auto"/>
              <w:ind w:firstLineChars="0" w:firstLine="0"/>
              <w:rPr>
                <w:rFonts w:eastAsiaTheme="minorEastAsia"/>
                <w:b/>
              </w:rPr>
            </w:pPr>
            <w:r>
              <w:rPr>
                <w:rFonts w:eastAsiaTheme="minorEastAsia"/>
                <w:b/>
              </w:rPr>
              <w:t>Agreement:</w:t>
            </w:r>
          </w:p>
          <w:p w14:paraId="54E8F9BA" w14:textId="77777777" w:rsidR="00AE043B" w:rsidRDefault="00AE043B" w:rsidP="00AE043B">
            <w:pPr>
              <w:pStyle w:val="ListParagraph"/>
              <w:widowControl/>
              <w:numPr>
                <w:ilvl w:val="0"/>
                <w:numId w:val="63"/>
              </w:numPr>
              <w:spacing w:before="0" w:beforeAutospacing="0" w:line="240" w:lineRule="auto"/>
              <w:ind w:left="0" w:firstLineChars="0" w:firstLine="0"/>
              <w:rPr>
                <w:lang w:val="sv-SE"/>
              </w:rPr>
            </w:pPr>
            <w:r>
              <w:rPr>
                <w:lang w:val="sv-SE"/>
              </w:rPr>
              <w:t xml:space="preserve">RAN4 to </w:t>
            </w:r>
            <w:proofErr w:type="spellStart"/>
            <w:r>
              <w:rPr>
                <w:lang w:val="sv-SE"/>
              </w:rPr>
              <w:t>consider</w:t>
            </w:r>
            <w:proofErr w:type="spellEnd"/>
            <w:r>
              <w:rPr>
                <w:lang w:val="sv-SE"/>
              </w:rPr>
              <w:t xml:space="preserve"> the </w:t>
            </w:r>
            <w:proofErr w:type="spellStart"/>
            <w:r>
              <w:rPr>
                <w:lang w:val="sv-SE"/>
              </w:rPr>
              <w:t>following</w:t>
            </w:r>
            <w:proofErr w:type="spellEnd"/>
            <w:r>
              <w:rPr>
                <w:lang w:val="sv-SE"/>
              </w:rPr>
              <w:t xml:space="preserve"> UE </w:t>
            </w:r>
            <w:proofErr w:type="spellStart"/>
            <w:r>
              <w:rPr>
                <w:lang w:val="sv-SE"/>
              </w:rPr>
              <w:t>Types</w:t>
            </w:r>
            <w:proofErr w:type="spellEnd"/>
            <w:r>
              <w:rPr>
                <w:lang w:val="sv-SE"/>
              </w:rPr>
              <w:t>:</w:t>
            </w:r>
            <w:r>
              <w:t xml:space="preserve"> </w:t>
            </w:r>
          </w:p>
          <w:p w14:paraId="08C14498" w14:textId="77777777" w:rsidR="00AE043B" w:rsidRDefault="00AE043B" w:rsidP="00AE043B">
            <w:pPr>
              <w:pStyle w:val="ListParagraph"/>
              <w:spacing w:before="0" w:beforeAutospacing="0" w:line="240" w:lineRule="auto"/>
              <w:ind w:leftChars="200" w:left="480" w:firstLineChars="0" w:firstLine="0"/>
              <w:rPr>
                <w:lang w:eastAsia="fr-FR"/>
              </w:rPr>
            </w:pPr>
            <w:r>
              <w:t>1/ Terminal Type 1 (</w:t>
            </w:r>
            <w:r>
              <w:rPr>
                <w:rFonts w:eastAsia="Yu Mincho"/>
                <w:b/>
                <w:bCs/>
                <w:lang w:eastAsia="fr-FR"/>
              </w:rPr>
              <w:t xml:space="preserve">Electronic </w:t>
            </w:r>
            <w:proofErr w:type="spellStart"/>
            <w:r>
              <w:rPr>
                <w:lang w:val="sv-SE" w:eastAsia="fr-FR"/>
              </w:rPr>
              <w:t>steering</w:t>
            </w:r>
            <w:proofErr w:type="spellEnd"/>
            <w:r>
              <w:rPr>
                <w:lang w:val="sv-SE" w:eastAsia="fr-FR"/>
              </w:rPr>
              <w:t xml:space="preserve"> </w:t>
            </w:r>
            <w:r>
              <w:rPr>
                <w:rFonts w:eastAsia="Yu Mincho"/>
                <w:b/>
                <w:bCs/>
                <w:lang w:eastAsia="fr-FR"/>
              </w:rPr>
              <w:t>antenna</w:t>
            </w:r>
            <w:r>
              <w:t>) with the following NFs:</w:t>
            </w:r>
          </w:p>
          <w:p w14:paraId="79711D88" w14:textId="77777777" w:rsidR="00AE043B" w:rsidRDefault="00AE043B" w:rsidP="00AE043B">
            <w:pPr>
              <w:pStyle w:val="ListParagraph"/>
              <w:widowControl/>
              <w:numPr>
                <w:ilvl w:val="0"/>
                <w:numId w:val="64"/>
              </w:numPr>
              <w:spacing w:before="0" w:beforeAutospacing="0" w:line="240" w:lineRule="auto"/>
              <w:ind w:leftChars="300" w:firstLineChars="0" w:firstLine="0"/>
            </w:pPr>
            <w:r>
              <w:t>2.5 dB NF (Class 1) - for both LEO and GEO;</w:t>
            </w:r>
          </w:p>
          <w:p w14:paraId="0386F1F5" w14:textId="77777777" w:rsidR="00AE043B" w:rsidRDefault="00AE043B" w:rsidP="00AE043B">
            <w:pPr>
              <w:pStyle w:val="ListParagraph"/>
              <w:widowControl/>
              <w:numPr>
                <w:ilvl w:val="0"/>
                <w:numId w:val="64"/>
              </w:numPr>
              <w:spacing w:before="0" w:beforeAutospacing="0" w:line="240" w:lineRule="auto"/>
              <w:ind w:leftChars="300" w:firstLineChars="0" w:firstLine="0"/>
            </w:pPr>
            <w:r>
              <w:t>6 dB NF (Class 2) - for LEO only.</w:t>
            </w:r>
          </w:p>
          <w:p w14:paraId="6AFCE7BE" w14:textId="77777777" w:rsidR="00AE043B" w:rsidRDefault="00AE043B" w:rsidP="00AE043B">
            <w:pPr>
              <w:pStyle w:val="ListParagraph"/>
              <w:spacing w:before="0" w:beforeAutospacing="0" w:line="240" w:lineRule="auto"/>
              <w:ind w:leftChars="200" w:left="480" w:firstLineChars="0" w:firstLine="0"/>
              <w:rPr>
                <w:lang w:eastAsia="fr-FR"/>
              </w:rPr>
            </w:pPr>
            <w:r>
              <w:t>2/ Terminal Type 2 (</w:t>
            </w:r>
            <w:r>
              <w:rPr>
                <w:lang w:eastAsia="fr-FR"/>
              </w:rPr>
              <w:t>Mechanical steering antenna</w:t>
            </w:r>
            <w:r>
              <w:t>) with the following NFs:</w:t>
            </w:r>
          </w:p>
          <w:p w14:paraId="235021D9" w14:textId="634E2B25" w:rsidR="00AE043B" w:rsidRDefault="00AE043B" w:rsidP="00AE043B">
            <w:pPr>
              <w:pStyle w:val="ListParagraph"/>
              <w:widowControl/>
              <w:numPr>
                <w:ilvl w:val="0"/>
                <w:numId w:val="64"/>
              </w:numPr>
              <w:spacing w:before="0" w:beforeAutospacing="0" w:line="240" w:lineRule="auto"/>
              <w:ind w:leftChars="300" w:firstLineChars="0" w:firstLine="0"/>
              <w:rPr>
                <w:lang w:eastAsia="fr-FR"/>
              </w:rPr>
            </w:pPr>
            <w:r>
              <w:lastRenderedPageBreak/>
              <w:t>2.5 dB NF (Class 1) – for both LEO and GEO.</w:t>
            </w:r>
          </w:p>
        </w:tc>
      </w:tr>
    </w:tbl>
    <w:p w14:paraId="704CC013" w14:textId="60DE91BC" w:rsidR="00B40F4A" w:rsidRDefault="00B40F4A" w:rsidP="00B40F4A">
      <w:pPr>
        <w:pStyle w:val="B10"/>
        <w:spacing w:before="0" w:beforeAutospacing="0"/>
      </w:pPr>
    </w:p>
    <w:p w14:paraId="0C936FEC" w14:textId="77777777" w:rsidR="00044F13" w:rsidRDefault="00773B3E" w:rsidP="00044F13">
      <w:pPr>
        <w:pStyle w:val="B10"/>
        <w:numPr>
          <w:ilvl w:val="0"/>
          <w:numId w:val="61"/>
        </w:numPr>
        <w:spacing w:before="0" w:beforeAutospacing="0"/>
      </w:pPr>
      <w:r w:rsidRPr="00773B3E">
        <w:t>SNR = -1 dB</w:t>
      </w:r>
    </w:p>
    <w:p w14:paraId="286B5BA4" w14:textId="41F4050F" w:rsidR="00044F13" w:rsidRDefault="00773B3E" w:rsidP="00044F13">
      <w:pPr>
        <w:pStyle w:val="B10"/>
        <w:numPr>
          <w:ilvl w:val="0"/>
          <w:numId w:val="61"/>
        </w:numPr>
        <w:spacing w:before="0" w:beforeAutospacing="0"/>
        <w:ind w:left="720"/>
      </w:pPr>
      <w:r w:rsidRPr="00773B3E">
        <w:t>IM = 2 dB</w:t>
      </w:r>
    </w:p>
    <w:p w14:paraId="6450816E" w14:textId="452E9DDF" w:rsidR="00187A7A" w:rsidRDefault="00773B3E" w:rsidP="00044F13">
      <w:pPr>
        <w:pStyle w:val="B10"/>
        <w:ind w:left="0" w:firstLine="0"/>
      </w:pPr>
      <w:r w:rsidRPr="00773B3E">
        <w:t xml:space="preserve">We can derive the following two </w:t>
      </w:r>
      <w:proofErr w:type="spellStart"/>
      <w:r w:rsidRPr="00773B3E">
        <w:t>Ant_Gain</w:t>
      </w:r>
      <w:proofErr w:type="spellEnd"/>
      <w:r w:rsidRPr="00773B3E">
        <w:t xml:space="preserve"> values,</w:t>
      </w:r>
    </w:p>
    <w:p w14:paraId="7E02C987" w14:textId="2DAC8A67" w:rsidR="00AD4E30" w:rsidRDefault="00773B3E" w:rsidP="00187A7A">
      <w:pPr>
        <w:pStyle w:val="B10"/>
        <w:numPr>
          <w:ilvl w:val="0"/>
          <w:numId w:val="60"/>
        </w:numPr>
      </w:pPr>
      <w:r w:rsidRPr="00773B3E">
        <w:t>F</w:t>
      </w:r>
      <w:r w:rsidR="00AD4E30">
        <w:t xml:space="preserve">or </w:t>
      </w:r>
      <w:r w:rsidR="008D2604">
        <w:rPr>
          <w:rFonts w:hint="eastAsia"/>
          <w:lang w:eastAsia="zh-CN"/>
        </w:rPr>
        <w:t>VSA</w:t>
      </w:r>
      <w:r w:rsidR="008D2604">
        <w:rPr>
          <w:lang w:eastAsia="zh-CN"/>
        </w:rPr>
        <w:t>T type 1/2/4/5</w:t>
      </w:r>
      <w:r w:rsidR="00AD4E30">
        <w:t>:</w:t>
      </w:r>
    </w:p>
    <w:p w14:paraId="1A5D2ADA" w14:textId="4FCBF290" w:rsidR="00187A7A" w:rsidRDefault="00773B3E" w:rsidP="00AD4E30">
      <w:pPr>
        <w:pStyle w:val="B10"/>
        <w:numPr>
          <w:ilvl w:val="1"/>
          <w:numId w:val="60"/>
        </w:numPr>
      </w:pPr>
      <w:proofErr w:type="spellStart"/>
      <w:r w:rsidRPr="00773B3E">
        <w:t>Ant_Gain</w:t>
      </w:r>
      <w:proofErr w:type="spellEnd"/>
      <w:r w:rsidRPr="00773B3E">
        <w:t xml:space="preserve"> = -174dBm + 77dB + </w:t>
      </w:r>
      <w:r w:rsidR="00930C79">
        <w:t>2.5</w:t>
      </w:r>
      <w:r w:rsidRPr="00773B3E">
        <w:t>dB + (-1dB) + 2dB - (-12</w:t>
      </w:r>
      <w:r w:rsidR="008D2604">
        <w:t>2</w:t>
      </w:r>
      <w:r w:rsidRPr="00773B3E">
        <w:t xml:space="preserve">dBm) = </w:t>
      </w:r>
      <w:r w:rsidR="008D2604">
        <w:t>2</w:t>
      </w:r>
      <w:r w:rsidR="00930C79">
        <w:t>8.5</w:t>
      </w:r>
      <w:r w:rsidRPr="00773B3E">
        <w:t>dB</w:t>
      </w:r>
    </w:p>
    <w:p w14:paraId="6F434C70" w14:textId="1600562F" w:rsidR="00AD4E30" w:rsidRDefault="00AD4E30" w:rsidP="00187A7A">
      <w:pPr>
        <w:pStyle w:val="B10"/>
        <w:numPr>
          <w:ilvl w:val="0"/>
          <w:numId w:val="60"/>
        </w:numPr>
      </w:pPr>
      <w:r>
        <w:t xml:space="preserve">For </w:t>
      </w:r>
      <w:r w:rsidR="008D2604">
        <w:t>VSAT type 3</w:t>
      </w:r>
      <w:r w:rsidR="00773B3E" w:rsidRPr="00773B3E">
        <w:t xml:space="preserve">, </w:t>
      </w:r>
    </w:p>
    <w:p w14:paraId="66EC10BE" w14:textId="1058A317" w:rsidR="00773B3E" w:rsidRDefault="00773B3E" w:rsidP="00AD4E30">
      <w:pPr>
        <w:pStyle w:val="B10"/>
        <w:numPr>
          <w:ilvl w:val="1"/>
          <w:numId w:val="60"/>
        </w:numPr>
      </w:pPr>
      <w:proofErr w:type="spellStart"/>
      <w:r w:rsidRPr="00773B3E">
        <w:t>Ant_Gain</w:t>
      </w:r>
      <w:proofErr w:type="spellEnd"/>
      <w:r w:rsidRPr="00773B3E">
        <w:t xml:space="preserve"> = -174dBm + 77dB + </w:t>
      </w:r>
      <w:r w:rsidR="00AE043B">
        <w:t>6</w:t>
      </w:r>
      <w:r w:rsidRPr="00773B3E">
        <w:t xml:space="preserve">dB + (-1dB) + 2dB - (-115.6dBm) = </w:t>
      </w:r>
      <w:r w:rsidR="002D73CC">
        <w:t>2</w:t>
      </w:r>
      <w:r w:rsidR="00AE043B">
        <w:t>5.6</w:t>
      </w:r>
      <w:r w:rsidRPr="00773B3E">
        <w:t>dB</w:t>
      </w:r>
    </w:p>
    <w:p w14:paraId="763FC1FF" w14:textId="4F821014" w:rsidR="00AD4E30" w:rsidRDefault="00AD4E30" w:rsidP="00AD4E30">
      <w:pPr>
        <w:pStyle w:val="B10"/>
        <w:ind w:left="0" w:firstLine="0"/>
      </w:pPr>
      <w:r>
        <w:t xml:space="preserve">Thus, based on our calculation the </w:t>
      </w:r>
      <w:r w:rsidR="00FB4E94">
        <w:t>lower</w:t>
      </w:r>
      <w:r>
        <w:t xml:space="preserve"> bound of Rx beam gain can be as following:</w:t>
      </w:r>
    </w:p>
    <w:p w14:paraId="1AD09183" w14:textId="129D6563" w:rsidR="00AD4E30" w:rsidRDefault="00AD4E30" w:rsidP="00AD4E30">
      <w:pPr>
        <w:pStyle w:val="B10"/>
        <w:numPr>
          <w:ilvl w:val="0"/>
          <w:numId w:val="60"/>
        </w:numPr>
      </w:pPr>
      <w:r w:rsidRPr="00773B3E">
        <w:t>F</w:t>
      </w:r>
      <w:r>
        <w:t xml:space="preserve">or </w:t>
      </w:r>
      <w:r w:rsidR="008D2604">
        <w:t>VSAT type 1/2/4/5</w:t>
      </w:r>
      <w:r>
        <w:t xml:space="preserve">, the </w:t>
      </w:r>
      <w:r w:rsidR="00FB4E94">
        <w:t xml:space="preserve">lower </w:t>
      </w:r>
      <w:r>
        <w:t xml:space="preserve">bound of Rx beam gain is </w:t>
      </w:r>
      <w:r w:rsidR="00930C79">
        <w:t>28.5</w:t>
      </w:r>
      <w:r w:rsidRPr="00773B3E">
        <w:t>dB</w:t>
      </w:r>
      <w:r>
        <w:t>.</w:t>
      </w:r>
    </w:p>
    <w:p w14:paraId="374A83C8" w14:textId="6108F10D" w:rsidR="00AD4E30" w:rsidRDefault="008D2604" w:rsidP="00AD4E30">
      <w:pPr>
        <w:pStyle w:val="B10"/>
        <w:numPr>
          <w:ilvl w:val="0"/>
          <w:numId w:val="60"/>
        </w:numPr>
      </w:pPr>
      <w:r w:rsidRPr="00773B3E">
        <w:t>F</w:t>
      </w:r>
      <w:r>
        <w:t>or VSAT type 3</w:t>
      </w:r>
      <w:r w:rsidR="00AD4E30">
        <w:t xml:space="preserve">, the </w:t>
      </w:r>
      <w:r w:rsidR="00FB4E94">
        <w:t xml:space="preserve">lower </w:t>
      </w:r>
      <w:r w:rsidR="00AD4E30">
        <w:t xml:space="preserve">bound of Rx beam gain is </w:t>
      </w:r>
      <w:r>
        <w:t>2</w:t>
      </w:r>
      <w:r w:rsidR="00AE043B">
        <w:t>5.6</w:t>
      </w:r>
      <w:r w:rsidR="00AD4E30" w:rsidRPr="00773B3E">
        <w:t>dB</w:t>
      </w:r>
      <w:r w:rsidR="00AD4E30">
        <w:t>.</w:t>
      </w:r>
    </w:p>
    <w:p w14:paraId="369FB62B" w14:textId="2438B59A" w:rsidR="00044F13" w:rsidRPr="00FB4E94" w:rsidRDefault="00FB4E94" w:rsidP="00AD4E30">
      <w:pPr>
        <w:spacing w:before="0" w:beforeAutospacing="0"/>
        <w:jc w:val="both"/>
      </w:pPr>
      <w:r w:rsidRPr="00FB4E94">
        <w:t>However, the calculation can only be used to decide the lower bound of beam gain, and we still need VSAT vendor to claim the upper bound of the Rx beam gain.</w:t>
      </w:r>
    </w:p>
    <w:p w14:paraId="3901C3B5" w14:textId="0615F63B" w:rsidR="00AD4E30" w:rsidRDefault="00AD4E30" w:rsidP="00AD4E30">
      <w:pPr>
        <w:spacing w:before="0" w:beforeAutospacing="0"/>
        <w:jc w:val="both"/>
        <w:rPr>
          <w:b/>
          <w:bCs/>
          <w:i/>
          <w:iCs/>
        </w:rPr>
      </w:pPr>
      <w:r w:rsidRPr="00B7371C">
        <w:rPr>
          <w:b/>
          <w:bCs/>
          <w:i/>
          <w:iCs/>
        </w:rPr>
        <w:t xml:space="preserve">Proposal </w:t>
      </w:r>
      <w:r w:rsidR="008D2604">
        <w:rPr>
          <w:b/>
          <w:bCs/>
          <w:i/>
          <w:iCs/>
        </w:rPr>
        <w:t>4</w:t>
      </w:r>
      <w:r w:rsidRPr="00B7371C">
        <w:rPr>
          <w:b/>
          <w:bCs/>
          <w:i/>
          <w:iCs/>
        </w:rPr>
        <w:t xml:space="preserve">: </w:t>
      </w:r>
    </w:p>
    <w:p w14:paraId="76DE86EF" w14:textId="0EF2A286" w:rsidR="008D2604" w:rsidRPr="008D2604" w:rsidRDefault="008D2604" w:rsidP="008D2604">
      <w:pPr>
        <w:spacing w:before="0" w:beforeAutospacing="0"/>
        <w:jc w:val="both"/>
        <w:rPr>
          <w:b/>
          <w:bCs/>
          <w:i/>
          <w:iCs/>
        </w:rPr>
      </w:pPr>
      <w:r w:rsidRPr="008D2604">
        <w:rPr>
          <w:b/>
          <w:bCs/>
          <w:i/>
          <w:iCs/>
        </w:rPr>
        <w:t>•</w:t>
      </w:r>
      <w:r w:rsidRPr="008D2604">
        <w:rPr>
          <w:b/>
          <w:bCs/>
          <w:i/>
          <w:iCs/>
        </w:rPr>
        <w:tab/>
        <w:t>For VSAT type 1/2/4/5, the lower bound of Rx beam gain is 2</w:t>
      </w:r>
      <w:r w:rsidR="00930C79">
        <w:rPr>
          <w:b/>
          <w:bCs/>
          <w:i/>
          <w:iCs/>
        </w:rPr>
        <w:t>8.5</w:t>
      </w:r>
      <w:r w:rsidRPr="008D2604">
        <w:rPr>
          <w:b/>
          <w:bCs/>
          <w:i/>
          <w:iCs/>
        </w:rPr>
        <w:t>dB.</w:t>
      </w:r>
    </w:p>
    <w:p w14:paraId="48FDF59F" w14:textId="559498E8" w:rsidR="008D2604" w:rsidRDefault="008D2604" w:rsidP="008D2604">
      <w:pPr>
        <w:spacing w:before="0" w:beforeAutospacing="0"/>
        <w:jc w:val="both"/>
        <w:rPr>
          <w:b/>
          <w:bCs/>
          <w:i/>
          <w:iCs/>
        </w:rPr>
      </w:pPr>
      <w:r w:rsidRPr="008D2604">
        <w:rPr>
          <w:b/>
          <w:bCs/>
          <w:i/>
          <w:iCs/>
        </w:rPr>
        <w:t>•</w:t>
      </w:r>
      <w:r w:rsidRPr="008D2604">
        <w:rPr>
          <w:b/>
          <w:bCs/>
          <w:i/>
          <w:iCs/>
        </w:rPr>
        <w:tab/>
        <w:t>For VSAT type 3, the lower bound of Rx beam gain is 2</w:t>
      </w:r>
      <w:r w:rsidR="00AE043B">
        <w:rPr>
          <w:b/>
          <w:bCs/>
          <w:i/>
          <w:iCs/>
        </w:rPr>
        <w:t>5.6</w:t>
      </w:r>
      <w:r w:rsidRPr="008D2604">
        <w:rPr>
          <w:b/>
          <w:bCs/>
          <w:i/>
          <w:iCs/>
        </w:rPr>
        <w:t>dB.</w:t>
      </w:r>
    </w:p>
    <w:p w14:paraId="1F0DCB27" w14:textId="51C4B5F1" w:rsidR="00FB4E94" w:rsidRPr="00FB4E94" w:rsidRDefault="00FB4E94" w:rsidP="00AD4E30">
      <w:pPr>
        <w:spacing w:before="0" w:beforeAutospacing="0"/>
        <w:jc w:val="both"/>
        <w:rPr>
          <w:b/>
          <w:bCs/>
          <w:i/>
          <w:iCs/>
        </w:rPr>
      </w:pPr>
      <w:r w:rsidRPr="00B7371C">
        <w:rPr>
          <w:b/>
          <w:bCs/>
          <w:i/>
          <w:iCs/>
        </w:rPr>
        <w:t xml:space="preserve">Proposal </w:t>
      </w:r>
      <w:r>
        <w:rPr>
          <w:b/>
          <w:bCs/>
          <w:i/>
          <w:iCs/>
        </w:rPr>
        <w:t>5</w:t>
      </w:r>
      <w:r w:rsidRPr="00B7371C">
        <w:rPr>
          <w:b/>
          <w:bCs/>
          <w:i/>
          <w:iCs/>
        </w:rPr>
        <w:t xml:space="preserve">: </w:t>
      </w:r>
      <w:r w:rsidRPr="00FB4E94">
        <w:rPr>
          <w:b/>
          <w:bCs/>
          <w:i/>
          <w:iCs/>
        </w:rPr>
        <w:t>VSAT vendor to claim the upper bound of the Rx beam gain.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EB61392" w14:textId="498DB26D" w:rsidR="001073FB" w:rsidRDefault="00131046" w:rsidP="00E06DD6">
      <w:pPr>
        <w:jc w:val="both"/>
      </w:pPr>
      <w:r w:rsidRPr="00EE14B6">
        <w:t xml:space="preserve">In this contribution, we discuss the NR-NTN </w:t>
      </w:r>
      <w:r w:rsidR="008D2604">
        <w:t>core and performance</w:t>
      </w:r>
      <w:r w:rsidRPr="00EE14B6">
        <w:t xml:space="preserve"> requirement</w:t>
      </w:r>
      <w:r w:rsidR="008D2604">
        <w:t xml:space="preserve"> maintenance</w:t>
      </w:r>
      <w:r w:rsidRPr="00EE14B6">
        <w:t xml:space="preserve"> in above 10 GHz bands.</w:t>
      </w:r>
    </w:p>
    <w:p w14:paraId="2CDAE5A8" w14:textId="77777777" w:rsidR="008D2604" w:rsidRDefault="008D2604" w:rsidP="008D2604">
      <w:pPr>
        <w:jc w:val="both"/>
        <w:rPr>
          <w:b/>
          <w:bCs/>
          <w:i/>
          <w:color w:val="000000" w:themeColor="text1"/>
        </w:rPr>
      </w:pPr>
      <w:r w:rsidRPr="004065CD">
        <w:rPr>
          <w:b/>
          <w:bCs/>
          <w:i/>
          <w:color w:val="000000" w:themeColor="text1"/>
        </w:rPr>
        <w:t>Observation</w:t>
      </w:r>
      <w:r>
        <w:rPr>
          <w:b/>
          <w:bCs/>
          <w:i/>
          <w:color w:val="000000" w:themeColor="text1"/>
        </w:rPr>
        <w:t xml:space="preserve"> 1</w:t>
      </w:r>
      <w:r w:rsidRPr="004065CD">
        <w:rPr>
          <w:b/>
          <w:bCs/>
          <w:i/>
          <w:color w:val="000000" w:themeColor="text1"/>
        </w:rPr>
        <w:t>: Since the first fix of GNSS will take very long time during the cell reselection procedure, it’s not necessary to always consider UE turns on the GNSS only when the neighbor NTN measurement is triggered.</w:t>
      </w:r>
    </w:p>
    <w:p w14:paraId="5B83C1E7" w14:textId="77777777" w:rsidR="008D2604" w:rsidRDefault="008D2604" w:rsidP="008D2604">
      <w:pPr>
        <w:jc w:val="both"/>
        <w:rPr>
          <w:b/>
          <w:bCs/>
          <w:i/>
        </w:rPr>
      </w:pPr>
      <w:r w:rsidRPr="001C5761">
        <w:rPr>
          <w:b/>
          <w:bCs/>
          <w:i/>
        </w:rPr>
        <w:t xml:space="preserve">Observation </w:t>
      </w:r>
      <w:r>
        <w:rPr>
          <w:b/>
          <w:bCs/>
          <w:i/>
        </w:rPr>
        <w:t>2</w:t>
      </w:r>
      <w:r w:rsidRPr="001C5761">
        <w:rPr>
          <w:b/>
          <w:bCs/>
          <w:i/>
        </w:rPr>
        <w:t>: if UE is configured by network to have at least one high priority carrier which contains NTN cells, UE will keep GNSS ON during such high priority frequency layer measurement even the UE is in TN coverage.</w:t>
      </w:r>
    </w:p>
    <w:p w14:paraId="49999DDC" w14:textId="77777777" w:rsidR="008D2604" w:rsidRPr="001C5761" w:rsidRDefault="008D2604" w:rsidP="008D2604">
      <w:r w:rsidRPr="000A7429">
        <w:rPr>
          <w:b/>
          <w:bCs/>
          <w:i/>
          <w:color w:val="000000" w:themeColor="text1"/>
        </w:rPr>
        <w:t xml:space="preserve">Proposal </w:t>
      </w:r>
      <w:r>
        <w:rPr>
          <w:b/>
          <w:bCs/>
          <w:i/>
          <w:color w:val="000000" w:themeColor="text1"/>
        </w:rPr>
        <w:t>1</w:t>
      </w:r>
      <w:r w:rsidRPr="000A7429">
        <w:rPr>
          <w:b/>
          <w:bCs/>
          <w:i/>
          <w:color w:val="000000" w:themeColor="text1"/>
        </w:rPr>
        <w:t xml:space="preserve">: </w:t>
      </w:r>
      <w:r>
        <w:rPr>
          <w:b/>
          <w:bCs/>
          <w:i/>
          <w:color w:val="000000" w:themeColor="text1"/>
        </w:rPr>
        <w:t xml:space="preserve">For TN to NTN cell re-selection requirement </w:t>
      </w:r>
      <w:r w:rsidRPr="001C5761">
        <w:rPr>
          <w:b/>
          <w:bCs/>
          <w:i/>
          <w:color w:val="000000" w:themeColor="text1"/>
        </w:rPr>
        <w:t xml:space="preserve">when </w:t>
      </w:r>
      <w:proofErr w:type="spellStart"/>
      <w:r w:rsidRPr="001C5761">
        <w:rPr>
          <w:b/>
          <w:bCs/>
          <w:i/>
        </w:rPr>
        <w:t>Srxlev</w:t>
      </w:r>
      <w:proofErr w:type="spellEnd"/>
      <w:r w:rsidRPr="001C5761">
        <w:rPr>
          <w:b/>
          <w:bCs/>
          <w:i/>
        </w:rPr>
        <w:t xml:space="preserve"> ≤ </w:t>
      </w:r>
      <w:proofErr w:type="spellStart"/>
      <w:r w:rsidRPr="001C5761">
        <w:rPr>
          <w:b/>
          <w:bCs/>
          <w:i/>
        </w:rPr>
        <w:t>S</w:t>
      </w:r>
      <w:r w:rsidRPr="001C5761">
        <w:rPr>
          <w:b/>
          <w:bCs/>
          <w:i/>
          <w:vertAlign w:val="subscript"/>
        </w:rPr>
        <w:t>nonIntraSearchP</w:t>
      </w:r>
      <w:proofErr w:type="spellEnd"/>
      <w:r w:rsidRPr="001C5761">
        <w:rPr>
          <w:b/>
          <w:bCs/>
          <w:i/>
        </w:rPr>
        <w:t xml:space="preserve"> or </w:t>
      </w:r>
      <w:proofErr w:type="spellStart"/>
      <w:r w:rsidRPr="001C5761">
        <w:rPr>
          <w:b/>
          <w:bCs/>
          <w:i/>
        </w:rPr>
        <w:t>Squal</w:t>
      </w:r>
      <w:proofErr w:type="spellEnd"/>
      <w:r w:rsidRPr="001C5761">
        <w:rPr>
          <w:b/>
          <w:bCs/>
          <w:i/>
        </w:rPr>
        <w:t xml:space="preserve"> ≤ </w:t>
      </w:r>
      <w:proofErr w:type="spellStart"/>
      <w:r w:rsidRPr="001C5761">
        <w:rPr>
          <w:b/>
          <w:bCs/>
          <w:i/>
        </w:rPr>
        <w:t>S</w:t>
      </w:r>
      <w:r w:rsidRPr="001C5761">
        <w:rPr>
          <w:b/>
          <w:bCs/>
          <w:i/>
          <w:vertAlign w:val="subscript"/>
        </w:rPr>
        <w:t>nonIntraSearchQ</w:t>
      </w:r>
      <w:proofErr w:type="spellEnd"/>
      <w:r>
        <w:rPr>
          <w:b/>
          <w:bCs/>
          <w:i/>
          <w:color w:val="000000" w:themeColor="text1"/>
        </w:rPr>
        <w:t xml:space="preserve">, </w:t>
      </w:r>
      <w:r w:rsidRPr="007B5B1A">
        <w:rPr>
          <w:b/>
          <w:bCs/>
          <w:i/>
          <w:color w:val="000000" w:themeColor="text1"/>
        </w:rPr>
        <w:t xml:space="preserve">if UE is configured by network to have at least one high priority carrier which contains NTN cells, </w:t>
      </w:r>
      <w:r>
        <w:rPr>
          <w:b/>
          <w:bCs/>
          <w:i/>
          <w:color w:val="000000" w:themeColor="text1"/>
        </w:rPr>
        <w:t xml:space="preserve">the </w:t>
      </w:r>
      <w:r w:rsidRPr="001C5761">
        <w:rPr>
          <w:b/>
          <w:bCs/>
          <w:i/>
          <w:color w:val="000000" w:themeColor="text1"/>
        </w:rPr>
        <w:t>requirements for GNSS ON</w:t>
      </w:r>
      <w:r>
        <w:rPr>
          <w:b/>
          <w:bCs/>
          <w:i/>
          <w:color w:val="000000" w:themeColor="text1"/>
        </w:rPr>
        <w:t xml:space="preserve"> shall be applied.</w:t>
      </w:r>
    </w:p>
    <w:p w14:paraId="2C6FEAEA" w14:textId="77777777" w:rsidR="008D2604" w:rsidRDefault="008D2604" w:rsidP="008D2604">
      <w:pPr>
        <w:spacing w:before="0" w:beforeAutospacing="0" w:after="120"/>
        <w:jc w:val="both"/>
        <w:rPr>
          <w:b/>
          <w:bCs/>
          <w:i/>
          <w:color w:val="000000" w:themeColor="text1"/>
        </w:rPr>
      </w:pPr>
      <w:r w:rsidRPr="000A7429">
        <w:rPr>
          <w:b/>
          <w:bCs/>
          <w:i/>
          <w:color w:val="000000" w:themeColor="text1"/>
        </w:rPr>
        <w:lastRenderedPageBreak/>
        <w:t xml:space="preserve">Proposal </w:t>
      </w:r>
      <w:r>
        <w:rPr>
          <w:rFonts w:hint="eastAsia"/>
          <w:b/>
          <w:bCs/>
          <w:i/>
          <w:color w:val="000000" w:themeColor="text1"/>
        </w:rPr>
        <w:t>2</w:t>
      </w:r>
      <w:r w:rsidRPr="000A7429">
        <w:rPr>
          <w:b/>
          <w:bCs/>
          <w:i/>
          <w:color w:val="000000" w:themeColor="text1"/>
        </w:rPr>
        <w:t xml:space="preserve">: </w:t>
      </w:r>
      <w:r w:rsidRPr="003142B1">
        <w:rPr>
          <w:b/>
          <w:bCs/>
          <w:i/>
          <w:color w:val="000000" w:themeColor="text1"/>
        </w:rPr>
        <w:t>not consider PDD reporting between serving and target satellites involved in the satellite switching without PCI change</w:t>
      </w:r>
      <w:r>
        <w:rPr>
          <w:b/>
          <w:bCs/>
          <w:i/>
          <w:color w:val="000000" w:themeColor="text1"/>
        </w:rPr>
        <w:t>.</w:t>
      </w:r>
    </w:p>
    <w:p w14:paraId="5C93DDB6" w14:textId="77777777" w:rsidR="008D2604" w:rsidRDefault="008D2604" w:rsidP="008D2604">
      <w:pPr>
        <w:spacing w:before="0" w:beforeAutospacing="0" w:after="120"/>
        <w:jc w:val="both"/>
        <w:rPr>
          <w:b/>
          <w:bCs/>
          <w:i/>
          <w:color w:val="000000" w:themeColor="text1"/>
        </w:rPr>
      </w:pPr>
      <w:r>
        <w:rPr>
          <w:b/>
          <w:bCs/>
          <w:i/>
          <w:color w:val="000000" w:themeColor="text1"/>
        </w:rPr>
        <w:t xml:space="preserve">Proposal </w:t>
      </w:r>
      <w:r>
        <w:rPr>
          <w:rFonts w:hint="eastAsia"/>
          <w:b/>
          <w:bCs/>
          <w:i/>
          <w:color w:val="000000" w:themeColor="text1"/>
        </w:rPr>
        <w:t>3</w:t>
      </w:r>
      <w:r>
        <w:rPr>
          <w:b/>
          <w:bCs/>
          <w:i/>
          <w:color w:val="000000" w:themeColor="text1"/>
        </w:rPr>
        <w:t xml:space="preserve">: to enhance scheduling restriction in soft satellite switching, consider modifying the capability rule such that: if </w:t>
      </w:r>
      <w:r w:rsidRPr="00AC006C">
        <w:rPr>
          <w:b/>
          <w:bCs/>
          <w:i/>
          <w:color w:val="000000" w:themeColor="text1"/>
        </w:rPr>
        <w:t xml:space="preserve">UE indicates to support soft satellite switching without PCI change, it also </w:t>
      </w:r>
      <w:r>
        <w:rPr>
          <w:b/>
          <w:bCs/>
          <w:i/>
          <w:color w:val="000000" w:themeColor="text1"/>
        </w:rPr>
        <w:t>means</w:t>
      </w:r>
      <w:r w:rsidRPr="00AC006C">
        <w:rPr>
          <w:b/>
          <w:bCs/>
          <w:i/>
          <w:color w:val="000000" w:themeColor="text1"/>
        </w:rPr>
        <w:t xml:space="preserve"> UE support</w:t>
      </w:r>
      <w:r>
        <w:rPr>
          <w:b/>
          <w:bCs/>
          <w:i/>
          <w:color w:val="000000" w:themeColor="text1"/>
        </w:rPr>
        <w:t>s</w:t>
      </w:r>
      <w:r w:rsidRPr="00AC006C">
        <w:rPr>
          <w:b/>
          <w:bCs/>
          <w:i/>
          <w:color w:val="000000" w:themeColor="text1"/>
        </w:rPr>
        <w:t xml:space="preserve"> </w:t>
      </w:r>
      <w:r>
        <w:rPr>
          <w:b/>
          <w:bCs/>
          <w:i/>
          <w:color w:val="000000" w:themeColor="text1"/>
        </w:rPr>
        <w:t xml:space="preserve">both </w:t>
      </w:r>
      <w:proofErr w:type="spellStart"/>
      <w:r w:rsidRPr="00AC006C">
        <w:rPr>
          <w:b/>
          <w:bCs/>
          <w:i/>
          <w:color w:val="000000" w:themeColor="text1"/>
        </w:rPr>
        <w:t>simultaneousRxDataSSB-DiffNumerology</w:t>
      </w:r>
      <w:proofErr w:type="spellEnd"/>
      <w:r w:rsidRPr="00AC006C">
        <w:rPr>
          <w:b/>
          <w:bCs/>
          <w:i/>
          <w:color w:val="000000" w:themeColor="text1"/>
        </w:rPr>
        <w:t xml:space="preserve"> and parallelMeasurementWithoutRestriction-r17</w:t>
      </w:r>
      <w:r>
        <w:rPr>
          <w:b/>
          <w:bCs/>
          <w:i/>
          <w:color w:val="000000" w:themeColor="text1"/>
        </w:rPr>
        <w:t>.</w:t>
      </w:r>
    </w:p>
    <w:p w14:paraId="0B903EF7" w14:textId="77777777" w:rsidR="00930C79" w:rsidRDefault="00930C79" w:rsidP="00930C79">
      <w:pPr>
        <w:spacing w:before="0" w:beforeAutospacing="0"/>
        <w:jc w:val="both"/>
        <w:rPr>
          <w:b/>
          <w:bCs/>
          <w:i/>
          <w:iCs/>
        </w:rPr>
      </w:pPr>
      <w:r w:rsidRPr="00B7371C">
        <w:rPr>
          <w:b/>
          <w:bCs/>
          <w:i/>
          <w:iCs/>
        </w:rPr>
        <w:t xml:space="preserve">Proposal </w:t>
      </w:r>
      <w:r>
        <w:rPr>
          <w:b/>
          <w:bCs/>
          <w:i/>
          <w:iCs/>
        </w:rPr>
        <w:t>4</w:t>
      </w:r>
      <w:r w:rsidRPr="00B7371C">
        <w:rPr>
          <w:b/>
          <w:bCs/>
          <w:i/>
          <w:iCs/>
        </w:rPr>
        <w:t xml:space="preserve">: </w:t>
      </w:r>
    </w:p>
    <w:p w14:paraId="37CC3F4E" w14:textId="77777777" w:rsidR="00930C79" w:rsidRPr="008D2604" w:rsidRDefault="00930C79" w:rsidP="00930C79">
      <w:pPr>
        <w:spacing w:before="0" w:beforeAutospacing="0"/>
        <w:jc w:val="both"/>
        <w:rPr>
          <w:b/>
          <w:bCs/>
          <w:i/>
          <w:iCs/>
        </w:rPr>
      </w:pPr>
      <w:r w:rsidRPr="008D2604">
        <w:rPr>
          <w:b/>
          <w:bCs/>
          <w:i/>
          <w:iCs/>
        </w:rPr>
        <w:t>•</w:t>
      </w:r>
      <w:r w:rsidRPr="008D2604">
        <w:rPr>
          <w:b/>
          <w:bCs/>
          <w:i/>
          <w:iCs/>
        </w:rPr>
        <w:tab/>
        <w:t>For VSAT type 1/2/4/5, the lower bound of Rx beam gain is 2</w:t>
      </w:r>
      <w:r>
        <w:rPr>
          <w:b/>
          <w:bCs/>
          <w:i/>
          <w:iCs/>
        </w:rPr>
        <w:t>8.5</w:t>
      </w:r>
      <w:r w:rsidRPr="008D2604">
        <w:rPr>
          <w:b/>
          <w:bCs/>
          <w:i/>
          <w:iCs/>
        </w:rPr>
        <w:t>dB.</w:t>
      </w:r>
    </w:p>
    <w:p w14:paraId="31A5684E" w14:textId="0C12254B" w:rsidR="00930C79" w:rsidRDefault="00930C79" w:rsidP="00930C79">
      <w:pPr>
        <w:spacing w:before="0" w:beforeAutospacing="0"/>
        <w:jc w:val="both"/>
        <w:rPr>
          <w:b/>
          <w:bCs/>
          <w:i/>
          <w:iCs/>
        </w:rPr>
      </w:pPr>
      <w:r w:rsidRPr="008D2604">
        <w:rPr>
          <w:b/>
          <w:bCs/>
          <w:i/>
          <w:iCs/>
        </w:rPr>
        <w:t>•</w:t>
      </w:r>
      <w:r w:rsidRPr="008D2604">
        <w:rPr>
          <w:b/>
          <w:bCs/>
          <w:i/>
          <w:iCs/>
        </w:rPr>
        <w:tab/>
        <w:t>For VSAT type 3, the lower bound of Rx beam gain is 2</w:t>
      </w:r>
      <w:r w:rsidR="00AE043B">
        <w:rPr>
          <w:b/>
          <w:bCs/>
          <w:i/>
          <w:iCs/>
        </w:rPr>
        <w:t>5.6</w:t>
      </w:r>
      <w:r w:rsidRPr="008D2604">
        <w:rPr>
          <w:b/>
          <w:bCs/>
          <w:i/>
          <w:iCs/>
        </w:rPr>
        <w:t>dB.</w:t>
      </w:r>
    </w:p>
    <w:p w14:paraId="19127FA3" w14:textId="7E7D5590" w:rsidR="008D2604" w:rsidRPr="008D2604" w:rsidRDefault="008D2604" w:rsidP="008D2604">
      <w:pPr>
        <w:spacing w:before="0" w:beforeAutospacing="0"/>
        <w:jc w:val="both"/>
        <w:rPr>
          <w:b/>
          <w:bCs/>
          <w:i/>
          <w:iCs/>
        </w:rPr>
      </w:pPr>
      <w:r w:rsidRPr="00B7371C">
        <w:rPr>
          <w:b/>
          <w:bCs/>
          <w:i/>
          <w:iCs/>
        </w:rPr>
        <w:t xml:space="preserve">Proposal </w:t>
      </w:r>
      <w:r>
        <w:rPr>
          <w:b/>
          <w:bCs/>
          <w:i/>
          <w:iCs/>
        </w:rPr>
        <w:t>5</w:t>
      </w:r>
      <w:r w:rsidRPr="00B7371C">
        <w:rPr>
          <w:b/>
          <w:bCs/>
          <w:i/>
          <w:iCs/>
        </w:rPr>
        <w:t xml:space="preserve">: </w:t>
      </w:r>
      <w:r w:rsidRPr="00FB4E94">
        <w:rPr>
          <w:b/>
          <w:bCs/>
          <w:i/>
          <w:iCs/>
        </w:rPr>
        <w:t>VSAT vendor to claim the upper bound of the Rx beam gain.</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045A63DB" w14:textId="02784450" w:rsidR="00756606" w:rsidRDefault="00756606" w:rsidP="00756606">
      <w:r>
        <w:t xml:space="preserve">[1] </w:t>
      </w:r>
      <w:r w:rsidR="00537816" w:rsidRPr="00537816">
        <w:rPr>
          <w:rFonts w:cs="Arial"/>
          <w:noProof/>
        </w:rPr>
        <w:t>R4-2411801</w:t>
      </w:r>
      <w:r w:rsidR="00537816">
        <w:rPr>
          <w:rFonts w:cs="Arial"/>
          <w:noProof/>
        </w:rPr>
        <w:t xml:space="preserve">, </w:t>
      </w:r>
      <w:r w:rsidR="00537816" w:rsidRPr="00537816">
        <w:rPr>
          <w:rFonts w:cs="Arial"/>
          <w:noProof/>
        </w:rPr>
        <w:t>Topic summary for [112][206] NR_NTN_enh</w:t>
      </w:r>
      <w:r w:rsidRPr="003302A0">
        <w:t xml:space="preserve">, </w:t>
      </w:r>
      <w:r w:rsidRPr="00C8257C">
        <w:t>Qualcomm Incorporated</w:t>
      </w:r>
      <w:r w:rsidRPr="003302A0">
        <w:t>, RAN</w:t>
      </w:r>
      <w:r>
        <w:t>4 #11</w:t>
      </w:r>
      <w:r w:rsidR="00537816">
        <w:t>2</w:t>
      </w:r>
    </w:p>
    <w:p w14:paraId="074E3527" w14:textId="7A2128F5" w:rsidR="00BA52AC" w:rsidRPr="00BA52AC" w:rsidRDefault="00756606" w:rsidP="00BA52AC">
      <w:r>
        <w:t xml:space="preserve">[2] </w:t>
      </w:r>
      <w:r w:rsidR="00537816" w:rsidRPr="00537816">
        <w:rPr>
          <w:rFonts w:cs="Arial"/>
          <w:noProof/>
        </w:rPr>
        <w:t>R4-2414100</w:t>
      </w:r>
      <w:r w:rsidR="00537816">
        <w:rPr>
          <w:rFonts w:cs="Arial"/>
          <w:noProof/>
        </w:rPr>
        <w:t xml:space="preserve">, </w:t>
      </w:r>
      <w:r w:rsidR="00537816" w:rsidRPr="00537816">
        <w:rPr>
          <w:rFonts w:cs="Arial"/>
          <w:noProof/>
        </w:rPr>
        <w:t>WF on RRM requirements for NR_NTN_enh</w:t>
      </w:r>
      <w:r>
        <w:t xml:space="preserve">, </w:t>
      </w:r>
      <w:r w:rsidRPr="00C8257C">
        <w:t>Qualcomm Incorporated</w:t>
      </w:r>
      <w:r>
        <w:t>,</w:t>
      </w:r>
      <w:r w:rsidRPr="00C8257C">
        <w:t xml:space="preserve"> </w:t>
      </w:r>
      <w:r>
        <w:t>RAN4#11</w:t>
      </w:r>
      <w:r w:rsidR="00537816">
        <w:t>2</w:t>
      </w:r>
    </w:p>
    <w:p w14:paraId="608DFE79" w14:textId="5E59BBB5" w:rsidR="00BA52AC" w:rsidRDefault="00BA52AC" w:rsidP="00A74337"/>
    <w:p w14:paraId="1A9988BC" w14:textId="0E5C818F" w:rsidR="00A753C9" w:rsidRDefault="00A753C9" w:rsidP="00281956"/>
    <w:sectPr w:rsidR="00A753C9" w:rsidSect="00DD5D3B">
      <w:headerReference w:type="even" r:id="rId12"/>
      <w:footnotePr>
        <w:numRestart w:val="eachSect"/>
      </w:footnotePr>
      <w:pgSz w:w="11900" w:h="16840"/>
      <w:pgMar w:top="1440" w:right="1080" w:bottom="1440" w:left="1080"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1801D" w14:textId="77777777" w:rsidR="003521A7" w:rsidRDefault="003521A7">
      <w:r>
        <w:separator/>
      </w:r>
    </w:p>
  </w:endnote>
  <w:endnote w:type="continuationSeparator" w:id="0">
    <w:p w14:paraId="6DF8080B" w14:textId="77777777" w:rsidR="003521A7" w:rsidRDefault="003521A7">
      <w:r>
        <w:continuationSeparator/>
      </w:r>
    </w:p>
  </w:endnote>
  <w:endnote w:type="continuationNotice" w:id="1">
    <w:p w14:paraId="05A63AD6" w14:textId="77777777" w:rsidR="003521A7" w:rsidRDefault="00352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C8559" w14:textId="77777777" w:rsidR="003521A7" w:rsidRDefault="003521A7">
      <w:r>
        <w:separator/>
      </w:r>
    </w:p>
  </w:footnote>
  <w:footnote w:type="continuationSeparator" w:id="0">
    <w:p w14:paraId="26CC5110" w14:textId="77777777" w:rsidR="003521A7" w:rsidRDefault="003521A7">
      <w:r>
        <w:continuationSeparator/>
      </w:r>
    </w:p>
  </w:footnote>
  <w:footnote w:type="continuationNotice" w:id="1">
    <w:p w14:paraId="6ACA7352" w14:textId="77777777" w:rsidR="003521A7" w:rsidRDefault="003521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56.4pt;height:37.75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3605A57"/>
    <w:multiLevelType w:val="hybridMultilevel"/>
    <w:tmpl w:val="1A48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87B26F2"/>
    <w:multiLevelType w:val="hybridMultilevel"/>
    <w:tmpl w:val="9670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D4429"/>
    <w:multiLevelType w:val="hybridMultilevel"/>
    <w:tmpl w:val="59D22A74"/>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8" w15:restartNumberingAfterBreak="0">
    <w:nsid w:val="29B832F6"/>
    <w:multiLevelType w:val="hybridMultilevel"/>
    <w:tmpl w:val="75CC749E"/>
    <w:lvl w:ilvl="0" w:tplc="6376FBBC">
      <w:start w:val="1"/>
      <w:numFmt w:val="bullet"/>
      <w:lvlText w:val="•"/>
      <w:lvlJc w:val="left"/>
      <w:pPr>
        <w:tabs>
          <w:tab w:val="num" w:pos="644"/>
        </w:tabs>
        <w:ind w:left="644" w:hanging="360"/>
      </w:pPr>
      <w:rPr>
        <w:rFonts w:ascii="Arial" w:hAnsi="Arial" w:hint="default"/>
      </w:rPr>
    </w:lvl>
    <w:lvl w:ilvl="1" w:tplc="F79A84E8">
      <w:numFmt w:val="bullet"/>
      <w:lvlText w:val="–"/>
      <w:lvlJc w:val="left"/>
      <w:pPr>
        <w:tabs>
          <w:tab w:val="num" w:pos="1364"/>
        </w:tabs>
        <w:ind w:left="1364" w:hanging="360"/>
      </w:pPr>
      <w:rPr>
        <w:rFonts w:ascii="Arial" w:hAnsi="Arial" w:hint="default"/>
      </w:rPr>
    </w:lvl>
    <w:lvl w:ilvl="2" w:tplc="45E60BC2">
      <w:numFmt w:val="bullet"/>
      <w:lvlText w:val="•"/>
      <w:lvlJc w:val="left"/>
      <w:pPr>
        <w:tabs>
          <w:tab w:val="num" w:pos="2084"/>
        </w:tabs>
        <w:ind w:left="2084" w:hanging="360"/>
      </w:pPr>
      <w:rPr>
        <w:rFonts w:ascii="Arial" w:hAnsi="Arial" w:hint="default"/>
      </w:rPr>
    </w:lvl>
    <w:lvl w:ilvl="3" w:tplc="83548D7E" w:tentative="1">
      <w:start w:val="1"/>
      <w:numFmt w:val="bullet"/>
      <w:lvlText w:val="•"/>
      <w:lvlJc w:val="left"/>
      <w:pPr>
        <w:tabs>
          <w:tab w:val="num" w:pos="2804"/>
        </w:tabs>
        <w:ind w:left="2804" w:hanging="360"/>
      </w:pPr>
      <w:rPr>
        <w:rFonts w:ascii="Arial" w:hAnsi="Arial" w:hint="default"/>
      </w:rPr>
    </w:lvl>
    <w:lvl w:ilvl="4" w:tplc="C49AF4EA" w:tentative="1">
      <w:start w:val="1"/>
      <w:numFmt w:val="bullet"/>
      <w:lvlText w:val="•"/>
      <w:lvlJc w:val="left"/>
      <w:pPr>
        <w:tabs>
          <w:tab w:val="num" w:pos="3524"/>
        </w:tabs>
        <w:ind w:left="3524" w:hanging="360"/>
      </w:pPr>
      <w:rPr>
        <w:rFonts w:ascii="Arial" w:hAnsi="Arial" w:hint="default"/>
      </w:rPr>
    </w:lvl>
    <w:lvl w:ilvl="5" w:tplc="72E8BDB2" w:tentative="1">
      <w:start w:val="1"/>
      <w:numFmt w:val="bullet"/>
      <w:lvlText w:val="•"/>
      <w:lvlJc w:val="left"/>
      <w:pPr>
        <w:tabs>
          <w:tab w:val="num" w:pos="4244"/>
        </w:tabs>
        <w:ind w:left="4244" w:hanging="360"/>
      </w:pPr>
      <w:rPr>
        <w:rFonts w:ascii="Arial" w:hAnsi="Arial" w:hint="default"/>
      </w:rPr>
    </w:lvl>
    <w:lvl w:ilvl="6" w:tplc="E06895C6" w:tentative="1">
      <w:start w:val="1"/>
      <w:numFmt w:val="bullet"/>
      <w:lvlText w:val="•"/>
      <w:lvlJc w:val="left"/>
      <w:pPr>
        <w:tabs>
          <w:tab w:val="num" w:pos="4964"/>
        </w:tabs>
        <w:ind w:left="4964" w:hanging="360"/>
      </w:pPr>
      <w:rPr>
        <w:rFonts w:ascii="Arial" w:hAnsi="Arial" w:hint="default"/>
      </w:rPr>
    </w:lvl>
    <w:lvl w:ilvl="7" w:tplc="36A0E628" w:tentative="1">
      <w:start w:val="1"/>
      <w:numFmt w:val="bullet"/>
      <w:lvlText w:val="•"/>
      <w:lvlJc w:val="left"/>
      <w:pPr>
        <w:tabs>
          <w:tab w:val="num" w:pos="5684"/>
        </w:tabs>
        <w:ind w:left="5684" w:hanging="360"/>
      </w:pPr>
      <w:rPr>
        <w:rFonts w:ascii="Arial" w:hAnsi="Arial" w:hint="default"/>
      </w:rPr>
    </w:lvl>
    <w:lvl w:ilvl="8" w:tplc="1722B224"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A966925"/>
    <w:multiLevelType w:val="hybridMultilevel"/>
    <w:tmpl w:val="E2709BA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1B73CBB"/>
    <w:multiLevelType w:val="multilevel"/>
    <w:tmpl w:val="41B73CBB"/>
    <w:lvl w:ilvl="0">
      <w:start w:val="2"/>
      <w:numFmt w:val="bullet"/>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1" w15:restartNumberingAfterBreak="0">
    <w:nsid w:val="4B926A93"/>
    <w:multiLevelType w:val="hybridMultilevel"/>
    <w:tmpl w:val="B1F810F2"/>
    <w:lvl w:ilvl="0" w:tplc="04090001">
      <w:start w:val="1"/>
      <w:numFmt w:val="bullet"/>
      <w:lvlText w:val=""/>
      <w:lvlJc w:val="left"/>
      <w:pPr>
        <w:ind w:left="706" w:hanging="360"/>
      </w:pPr>
      <w:rPr>
        <w:rFonts w:ascii="Symbol" w:hAnsi="Symbol" w:hint="default"/>
      </w:rPr>
    </w:lvl>
    <w:lvl w:ilvl="1" w:tplc="04090003">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2D2E21"/>
    <w:multiLevelType w:val="hybridMultilevel"/>
    <w:tmpl w:val="BF141D0C"/>
    <w:lvl w:ilvl="0" w:tplc="FF7279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D1F430C"/>
    <w:multiLevelType w:val="multilevel"/>
    <w:tmpl w:val="5D1F4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267C66"/>
    <w:multiLevelType w:val="hybridMultilevel"/>
    <w:tmpl w:val="F21230BE"/>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46" w15:restartNumberingAfterBreak="0">
    <w:nsid w:val="67D77771"/>
    <w:multiLevelType w:val="hybridMultilevel"/>
    <w:tmpl w:val="FDDC79F6"/>
    <w:lvl w:ilvl="0" w:tplc="72245076">
      <w:start w:val="1"/>
      <w:numFmt w:val="bullet"/>
      <w:lvlText w:val=""/>
      <w:lvlJc w:val="left"/>
      <w:pPr>
        <w:tabs>
          <w:tab w:val="num" w:pos="720"/>
        </w:tabs>
        <w:ind w:left="720" w:hanging="360"/>
      </w:pPr>
      <w:rPr>
        <w:rFonts w:ascii="Symbol" w:hAnsi="Symbol" w:hint="default"/>
      </w:rPr>
    </w:lvl>
    <w:lvl w:ilvl="1" w:tplc="1056F740">
      <w:numFmt w:val="bullet"/>
      <w:lvlText w:val="•"/>
      <w:lvlJc w:val="left"/>
      <w:pPr>
        <w:tabs>
          <w:tab w:val="num" w:pos="1440"/>
        </w:tabs>
        <w:ind w:left="1440" w:hanging="360"/>
      </w:pPr>
      <w:rPr>
        <w:rFonts w:ascii="Arial" w:hAnsi="Arial" w:hint="default"/>
      </w:rPr>
    </w:lvl>
    <w:lvl w:ilvl="2" w:tplc="DFAE9926" w:tentative="1">
      <w:start w:val="1"/>
      <w:numFmt w:val="bullet"/>
      <w:lvlText w:val=""/>
      <w:lvlJc w:val="left"/>
      <w:pPr>
        <w:tabs>
          <w:tab w:val="num" w:pos="2160"/>
        </w:tabs>
        <w:ind w:left="2160" w:hanging="360"/>
      </w:pPr>
      <w:rPr>
        <w:rFonts w:ascii="Symbol" w:hAnsi="Symbol" w:hint="default"/>
      </w:rPr>
    </w:lvl>
    <w:lvl w:ilvl="3" w:tplc="ECD411C0" w:tentative="1">
      <w:start w:val="1"/>
      <w:numFmt w:val="bullet"/>
      <w:lvlText w:val=""/>
      <w:lvlJc w:val="left"/>
      <w:pPr>
        <w:tabs>
          <w:tab w:val="num" w:pos="2880"/>
        </w:tabs>
        <w:ind w:left="2880" w:hanging="360"/>
      </w:pPr>
      <w:rPr>
        <w:rFonts w:ascii="Symbol" w:hAnsi="Symbol" w:hint="default"/>
      </w:rPr>
    </w:lvl>
    <w:lvl w:ilvl="4" w:tplc="5FB62434" w:tentative="1">
      <w:start w:val="1"/>
      <w:numFmt w:val="bullet"/>
      <w:lvlText w:val=""/>
      <w:lvlJc w:val="left"/>
      <w:pPr>
        <w:tabs>
          <w:tab w:val="num" w:pos="3600"/>
        </w:tabs>
        <w:ind w:left="3600" w:hanging="360"/>
      </w:pPr>
      <w:rPr>
        <w:rFonts w:ascii="Symbol" w:hAnsi="Symbol" w:hint="default"/>
      </w:rPr>
    </w:lvl>
    <w:lvl w:ilvl="5" w:tplc="2F3676AC" w:tentative="1">
      <w:start w:val="1"/>
      <w:numFmt w:val="bullet"/>
      <w:lvlText w:val=""/>
      <w:lvlJc w:val="left"/>
      <w:pPr>
        <w:tabs>
          <w:tab w:val="num" w:pos="4320"/>
        </w:tabs>
        <w:ind w:left="4320" w:hanging="360"/>
      </w:pPr>
      <w:rPr>
        <w:rFonts w:ascii="Symbol" w:hAnsi="Symbol" w:hint="default"/>
      </w:rPr>
    </w:lvl>
    <w:lvl w:ilvl="6" w:tplc="21D4386E" w:tentative="1">
      <w:start w:val="1"/>
      <w:numFmt w:val="bullet"/>
      <w:lvlText w:val=""/>
      <w:lvlJc w:val="left"/>
      <w:pPr>
        <w:tabs>
          <w:tab w:val="num" w:pos="5040"/>
        </w:tabs>
        <w:ind w:left="5040" w:hanging="360"/>
      </w:pPr>
      <w:rPr>
        <w:rFonts w:ascii="Symbol" w:hAnsi="Symbol" w:hint="default"/>
      </w:rPr>
    </w:lvl>
    <w:lvl w:ilvl="7" w:tplc="489260C2" w:tentative="1">
      <w:start w:val="1"/>
      <w:numFmt w:val="bullet"/>
      <w:lvlText w:val=""/>
      <w:lvlJc w:val="left"/>
      <w:pPr>
        <w:tabs>
          <w:tab w:val="num" w:pos="5760"/>
        </w:tabs>
        <w:ind w:left="5760" w:hanging="360"/>
      </w:pPr>
      <w:rPr>
        <w:rFonts w:ascii="Symbol" w:hAnsi="Symbol" w:hint="default"/>
      </w:rPr>
    </w:lvl>
    <w:lvl w:ilvl="8" w:tplc="6F02F80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674F67"/>
    <w:multiLevelType w:val="hybridMultilevel"/>
    <w:tmpl w:val="37D450D4"/>
    <w:lvl w:ilvl="0" w:tplc="04090001">
      <w:start w:val="1"/>
      <w:numFmt w:val="bullet"/>
      <w:lvlText w:val=""/>
      <w:lvlJc w:val="left"/>
      <w:pPr>
        <w:ind w:left="720" w:hanging="360"/>
      </w:pPr>
      <w:rPr>
        <w:rFonts w:ascii="Symbol" w:hAnsi="Symbol" w:hint="default"/>
      </w:rPr>
    </w:lvl>
    <w:lvl w:ilvl="1" w:tplc="6D12B1C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7"/>
  </w:num>
  <w:num w:numId="5" w16cid:durableId="19949176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2"/>
  </w:num>
  <w:num w:numId="8" w16cid:durableId="66853061">
    <w:abstractNumId w:val="6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8"/>
  </w:num>
  <w:num w:numId="11" w16cid:durableId="658192778">
    <w:abstractNumId w:val="52"/>
  </w:num>
  <w:num w:numId="12" w16cid:durableId="1683971953">
    <w:abstractNumId w:val="35"/>
  </w:num>
  <w:num w:numId="13" w16cid:durableId="1802336773">
    <w:abstractNumId w:val="53"/>
  </w:num>
  <w:num w:numId="14" w16cid:durableId="183179212">
    <w:abstractNumId w:val="12"/>
  </w:num>
  <w:num w:numId="15" w16cid:durableId="101072845">
    <w:abstractNumId w:val="2"/>
  </w:num>
  <w:num w:numId="16" w16cid:durableId="1671985423">
    <w:abstractNumId w:val="58"/>
  </w:num>
  <w:num w:numId="17" w16cid:durableId="527718403">
    <w:abstractNumId w:val="10"/>
  </w:num>
  <w:num w:numId="18" w16cid:durableId="336426665">
    <w:abstractNumId w:val="42"/>
  </w:num>
  <w:num w:numId="19" w16cid:durableId="314071016">
    <w:abstractNumId w:val="6"/>
  </w:num>
  <w:num w:numId="20" w16cid:durableId="254241833">
    <w:abstractNumId w:val="15"/>
  </w:num>
  <w:num w:numId="21" w16cid:durableId="2056931042">
    <w:abstractNumId w:val="34"/>
  </w:num>
  <w:num w:numId="22" w16cid:durableId="277881800">
    <w:abstractNumId w:val="39"/>
  </w:num>
  <w:num w:numId="23" w16cid:durableId="2121104171">
    <w:abstractNumId w:val="26"/>
  </w:num>
  <w:num w:numId="24" w16cid:durableId="1956054883">
    <w:abstractNumId w:val="21"/>
  </w:num>
  <w:num w:numId="25" w16cid:durableId="1143275559">
    <w:abstractNumId w:val="28"/>
  </w:num>
  <w:num w:numId="26" w16cid:durableId="337998213">
    <w:abstractNumId w:val="29"/>
  </w:num>
  <w:num w:numId="27" w16cid:durableId="753867088">
    <w:abstractNumId w:val="24"/>
  </w:num>
  <w:num w:numId="28" w16cid:durableId="1388605013">
    <w:abstractNumId w:val="22"/>
  </w:num>
  <w:num w:numId="29" w16cid:durableId="1194684424">
    <w:abstractNumId w:val="30"/>
  </w:num>
  <w:num w:numId="30" w16cid:durableId="195780968">
    <w:abstractNumId w:val="43"/>
  </w:num>
  <w:num w:numId="31" w16cid:durableId="43145658">
    <w:abstractNumId w:val="38"/>
  </w:num>
  <w:num w:numId="32" w16cid:durableId="840119956">
    <w:abstractNumId w:val="56"/>
  </w:num>
  <w:num w:numId="33" w16cid:durableId="788086887">
    <w:abstractNumId w:val="50"/>
  </w:num>
  <w:num w:numId="34" w16cid:durableId="1075589885">
    <w:abstractNumId w:val="25"/>
  </w:num>
  <w:num w:numId="35" w16cid:durableId="1071587299">
    <w:abstractNumId w:val="54"/>
  </w:num>
  <w:num w:numId="36" w16cid:durableId="1091851232">
    <w:abstractNumId w:val="48"/>
  </w:num>
  <w:num w:numId="37" w16cid:durableId="1931697551">
    <w:abstractNumId w:val="23"/>
  </w:num>
  <w:num w:numId="38" w16cid:durableId="1849905691">
    <w:abstractNumId w:val="40"/>
  </w:num>
  <w:num w:numId="39" w16cid:durableId="276916249">
    <w:abstractNumId w:val="55"/>
  </w:num>
  <w:num w:numId="40" w16cid:durableId="935945555">
    <w:abstractNumId w:val="9"/>
  </w:num>
  <w:num w:numId="41" w16cid:durableId="1093478076">
    <w:abstractNumId w:val="14"/>
  </w:num>
  <w:num w:numId="42" w16cid:durableId="1347514231">
    <w:abstractNumId w:val="59"/>
  </w:num>
  <w:num w:numId="43" w16cid:durableId="30151458">
    <w:abstractNumId w:val="0"/>
  </w:num>
  <w:num w:numId="44" w16cid:durableId="207424313">
    <w:abstractNumId w:val="44"/>
  </w:num>
  <w:num w:numId="45" w16cid:durableId="1443723114">
    <w:abstractNumId w:val="45"/>
  </w:num>
  <w:num w:numId="46" w16cid:durableId="1609892873">
    <w:abstractNumId w:val="33"/>
  </w:num>
  <w:num w:numId="47" w16cid:durableId="966543058">
    <w:abstractNumId w:val="36"/>
  </w:num>
  <w:num w:numId="48" w16cid:durableId="2035420080">
    <w:abstractNumId w:val="11"/>
  </w:num>
  <w:num w:numId="49" w16cid:durableId="1083143886">
    <w:abstractNumId w:val="47"/>
  </w:num>
  <w:num w:numId="50" w16cid:durableId="166945364">
    <w:abstractNumId w:val="4"/>
  </w:num>
  <w:num w:numId="51" w16cid:durableId="59714487">
    <w:abstractNumId w:val="18"/>
  </w:num>
  <w:num w:numId="52" w16cid:durableId="1453204654">
    <w:abstractNumId w:val="3"/>
  </w:num>
  <w:num w:numId="53" w16cid:durableId="2112234269">
    <w:abstractNumId w:val="46"/>
  </w:num>
  <w:num w:numId="54" w16cid:durableId="1452824539">
    <w:abstractNumId w:val="19"/>
  </w:num>
  <w:num w:numId="55" w16cid:durableId="1971284806">
    <w:abstractNumId w:val="13"/>
  </w:num>
  <w:num w:numId="56" w16cid:durableId="1893927055">
    <w:abstractNumId w:val="5"/>
  </w:num>
  <w:num w:numId="57" w16cid:durableId="1050767340">
    <w:abstractNumId w:val="37"/>
  </w:num>
  <w:num w:numId="58" w16cid:durableId="1937132579">
    <w:abstractNumId w:val="17"/>
  </w:num>
  <w:num w:numId="59" w16cid:durableId="1386103137">
    <w:abstractNumId w:val="51"/>
  </w:num>
  <w:num w:numId="60" w16cid:durableId="580606643">
    <w:abstractNumId w:val="31"/>
  </w:num>
  <w:num w:numId="61" w16cid:durableId="537543932">
    <w:abstractNumId w:val="20"/>
  </w:num>
  <w:num w:numId="62" w16cid:durableId="1204055655">
    <w:abstractNumId w:val="16"/>
  </w:num>
  <w:num w:numId="63" w16cid:durableId="416102358">
    <w:abstractNumId w:val="41"/>
  </w:num>
  <w:num w:numId="64" w16cid:durableId="711998340">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1E9"/>
    <w:rsid w:val="0002052C"/>
    <w:rsid w:val="00021743"/>
    <w:rsid w:val="00021CAE"/>
    <w:rsid w:val="00021EE3"/>
    <w:rsid w:val="00021F19"/>
    <w:rsid w:val="000224EE"/>
    <w:rsid w:val="0002357C"/>
    <w:rsid w:val="00024338"/>
    <w:rsid w:val="000243FC"/>
    <w:rsid w:val="00024952"/>
    <w:rsid w:val="00025358"/>
    <w:rsid w:val="000255E6"/>
    <w:rsid w:val="00025658"/>
    <w:rsid w:val="000259ED"/>
    <w:rsid w:val="00025E46"/>
    <w:rsid w:val="000268B8"/>
    <w:rsid w:val="00026ED2"/>
    <w:rsid w:val="00026F21"/>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4F13"/>
    <w:rsid w:val="000459BE"/>
    <w:rsid w:val="00045E08"/>
    <w:rsid w:val="00050318"/>
    <w:rsid w:val="00050545"/>
    <w:rsid w:val="00050957"/>
    <w:rsid w:val="00051788"/>
    <w:rsid w:val="00051AA2"/>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129"/>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77FD6"/>
    <w:rsid w:val="000800DC"/>
    <w:rsid w:val="000808D2"/>
    <w:rsid w:val="00081275"/>
    <w:rsid w:val="00081E65"/>
    <w:rsid w:val="00082D9A"/>
    <w:rsid w:val="00082E1A"/>
    <w:rsid w:val="00083DCB"/>
    <w:rsid w:val="000840C0"/>
    <w:rsid w:val="00085222"/>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6A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2D8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4F2"/>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588B"/>
    <w:rsid w:val="00106747"/>
    <w:rsid w:val="00106FFC"/>
    <w:rsid w:val="001073FB"/>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D82"/>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046"/>
    <w:rsid w:val="001318C8"/>
    <w:rsid w:val="00131FC6"/>
    <w:rsid w:val="001325E9"/>
    <w:rsid w:val="00132EBF"/>
    <w:rsid w:val="00132F37"/>
    <w:rsid w:val="00133A0A"/>
    <w:rsid w:val="001346E3"/>
    <w:rsid w:val="00134D3E"/>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87A7A"/>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0AB"/>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801"/>
    <w:rsid w:val="001C4B85"/>
    <w:rsid w:val="001C5179"/>
    <w:rsid w:val="001C57E6"/>
    <w:rsid w:val="001C5B8F"/>
    <w:rsid w:val="001C6634"/>
    <w:rsid w:val="001C6638"/>
    <w:rsid w:val="001C79BE"/>
    <w:rsid w:val="001C7AD6"/>
    <w:rsid w:val="001D0D3C"/>
    <w:rsid w:val="001D0DC4"/>
    <w:rsid w:val="001D1853"/>
    <w:rsid w:val="001D24FB"/>
    <w:rsid w:val="001D3529"/>
    <w:rsid w:val="001D5057"/>
    <w:rsid w:val="001D5DEE"/>
    <w:rsid w:val="001D6F61"/>
    <w:rsid w:val="001D714B"/>
    <w:rsid w:val="001D796C"/>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0B6"/>
    <w:rsid w:val="001F2F33"/>
    <w:rsid w:val="001F479A"/>
    <w:rsid w:val="001F59EF"/>
    <w:rsid w:val="001F63EF"/>
    <w:rsid w:val="001F65D9"/>
    <w:rsid w:val="001F715B"/>
    <w:rsid w:val="00200136"/>
    <w:rsid w:val="002018D3"/>
    <w:rsid w:val="00201E08"/>
    <w:rsid w:val="00202AD7"/>
    <w:rsid w:val="00202ADF"/>
    <w:rsid w:val="00203C24"/>
    <w:rsid w:val="00203FC0"/>
    <w:rsid w:val="00205CC9"/>
    <w:rsid w:val="00205E99"/>
    <w:rsid w:val="00206DEC"/>
    <w:rsid w:val="002072A9"/>
    <w:rsid w:val="00207BC3"/>
    <w:rsid w:val="002104DB"/>
    <w:rsid w:val="00210573"/>
    <w:rsid w:val="00210DE4"/>
    <w:rsid w:val="002111B2"/>
    <w:rsid w:val="00212570"/>
    <w:rsid w:val="0021369B"/>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3581"/>
    <w:rsid w:val="002343FF"/>
    <w:rsid w:val="002346F9"/>
    <w:rsid w:val="00234CC7"/>
    <w:rsid w:val="002352A1"/>
    <w:rsid w:val="00235D67"/>
    <w:rsid w:val="00236B44"/>
    <w:rsid w:val="00236D56"/>
    <w:rsid w:val="00237CD3"/>
    <w:rsid w:val="00237FDA"/>
    <w:rsid w:val="002408BE"/>
    <w:rsid w:val="00241281"/>
    <w:rsid w:val="00241ACF"/>
    <w:rsid w:val="00242B77"/>
    <w:rsid w:val="0024363C"/>
    <w:rsid w:val="00244349"/>
    <w:rsid w:val="00245B24"/>
    <w:rsid w:val="00246B61"/>
    <w:rsid w:val="00247AF0"/>
    <w:rsid w:val="00250218"/>
    <w:rsid w:val="00250262"/>
    <w:rsid w:val="002509D0"/>
    <w:rsid w:val="00251B15"/>
    <w:rsid w:val="0025242B"/>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4CCF"/>
    <w:rsid w:val="00275844"/>
    <w:rsid w:val="0027597C"/>
    <w:rsid w:val="00275C10"/>
    <w:rsid w:val="00276050"/>
    <w:rsid w:val="00276891"/>
    <w:rsid w:val="002772D9"/>
    <w:rsid w:val="00277997"/>
    <w:rsid w:val="00277CA2"/>
    <w:rsid w:val="00280E39"/>
    <w:rsid w:val="00280F22"/>
    <w:rsid w:val="00281795"/>
    <w:rsid w:val="00281956"/>
    <w:rsid w:val="00282398"/>
    <w:rsid w:val="002825A1"/>
    <w:rsid w:val="0028322C"/>
    <w:rsid w:val="002835C8"/>
    <w:rsid w:val="00283B69"/>
    <w:rsid w:val="00283CE0"/>
    <w:rsid w:val="00284F70"/>
    <w:rsid w:val="0028616A"/>
    <w:rsid w:val="002865A0"/>
    <w:rsid w:val="00287178"/>
    <w:rsid w:val="0028784E"/>
    <w:rsid w:val="00291C33"/>
    <w:rsid w:val="0029215C"/>
    <w:rsid w:val="002941B3"/>
    <w:rsid w:val="002954CC"/>
    <w:rsid w:val="002954F1"/>
    <w:rsid w:val="00295F08"/>
    <w:rsid w:val="002961B9"/>
    <w:rsid w:val="00296BEB"/>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494A"/>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5F15"/>
    <w:rsid w:val="002D621A"/>
    <w:rsid w:val="002D64CA"/>
    <w:rsid w:val="002D6A82"/>
    <w:rsid w:val="002D6DED"/>
    <w:rsid w:val="002D73CC"/>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ECD"/>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33CF"/>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1D7D"/>
    <w:rsid w:val="003521A7"/>
    <w:rsid w:val="003527DD"/>
    <w:rsid w:val="00352C9D"/>
    <w:rsid w:val="00353E99"/>
    <w:rsid w:val="003542FC"/>
    <w:rsid w:val="00354969"/>
    <w:rsid w:val="00354AC7"/>
    <w:rsid w:val="003555DE"/>
    <w:rsid w:val="003567BE"/>
    <w:rsid w:val="00356DED"/>
    <w:rsid w:val="00356FD9"/>
    <w:rsid w:val="00360017"/>
    <w:rsid w:val="00360436"/>
    <w:rsid w:val="00360F8E"/>
    <w:rsid w:val="00361280"/>
    <w:rsid w:val="00362BA6"/>
    <w:rsid w:val="00362E22"/>
    <w:rsid w:val="00362F54"/>
    <w:rsid w:val="00362F5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3FF"/>
    <w:rsid w:val="003A7912"/>
    <w:rsid w:val="003B036E"/>
    <w:rsid w:val="003B0971"/>
    <w:rsid w:val="003B0A14"/>
    <w:rsid w:val="003B1940"/>
    <w:rsid w:val="003B2462"/>
    <w:rsid w:val="003B246F"/>
    <w:rsid w:val="003B3B3F"/>
    <w:rsid w:val="003B3E7E"/>
    <w:rsid w:val="003B52C4"/>
    <w:rsid w:val="003B5CAB"/>
    <w:rsid w:val="003B7066"/>
    <w:rsid w:val="003B78AC"/>
    <w:rsid w:val="003B7EC1"/>
    <w:rsid w:val="003C0024"/>
    <w:rsid w:val="003C00A2"/>
    <w:rsid w:val="003C0A81"/>
    <w:rsid w:val="003C1CCC"/>
    <w:rsid w:val="003C2043"/>
    <w:rsid w:val="003C2250"/>
    <w:rsid w:val="003C2D69"/>
    <w:rsid w:val="003C4463"/>
    <w:rsid w:val="003C4CAB"/>
    <w:rsid w:val="003C4E9F"/>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DEA"/>
    <w:rsid w:val="003D5E81"/>
    <w:rsid w:val="003D5EF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C7D"/>
    <w:rsid w:val="003F3D76"/>
    <w:rsid w:val="003F4307"/>
    <w:rsid w:val="003F436C"/>
    <w:rsid w:val="003F46D1"/>
    <w:rsid w:val="003F6FBE"/>
    <w:rsid w:val="003F727B"/>
    <w:rsid w:val="003F77E2"/>
    <w:rsid w:val="003F7B77"/>
    <w:rsid w:val="00401245"/>
    <w:rsid w:val="004013F3"/>
    <w:rsid w:val="00401418"/>
    <w:rsid w:val="004022CB"/>
    <w:rsid w:val="004023F2"/>
    <w:rsid w:val="004056CB"/>
    <w:rsid w:val="00406096"/>
    <w:rsid w:val="004073E7"/>
    <w:rsid w:val="00407A1A"/>
    <w:rsid w:val="00407B4B"/>
    <w:rsid w:val="00407D5E"/>
    <w:rsid w:val="00411C70"/>
    <w:rsid w:val="00411F08"/>
    <w:rsid w:val="00412074"/>
    <w:rsid w:val="0041246A"/>
    <w:rsid w:val="0041291C"/>
    <w:rsid w:val="00412F8E"/>
    <w:rsid w:val="004130E6"/>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321"/>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2E8F"/>
    <w:rsid w:val="004530B2"/>
    <w:rsid w:val="00454FEA"/>
    <w:rsid w:val="004564B4"/>
    <w:rsid w:val="004570AC"/>
    <w:rsid w:val="00457CEC"/>
    <w:rsid w:val="00457D58"/>
    <w:rsid w:val="004603FC"/>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16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A05"/>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3652"/>
    <w:rsid w:val="004D38D7"/>
    <w:rsid w:val="004D4494"/>
    <w:rsid w:val="004D48B4"/>
    <w:rsid w:val="004D4B1A"/>
    <w:rsid w:val="004D4D0C"/>
    <w:rsid w:val="004D4ED2"/>
    <w:rsid w:val="004D5613"/>
    <w:rsid w:val="004D569C"/>
    <w:rsid w:val="004D63AF"/>
    <w:rsid w:val="004E04C9"/>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D7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8AA"/>
    <w:rsid w:val="005063B3"/>
    <w:rsid w:val="0050694D"/>
    <w:rsid w:val="00506B77"/>
    <w:rsid w:val="00507AA3"/>
    <w:rsid w:val="005102AE"/>
    <w:rsid w:val="005102D5"/>
    <w:rsid w:val="00510895"/>
    <w:rsid w:val="0051133A"/>
    <w:rsid w:val="0051176D"/>
    <w:rsid w:val="00512086"/>
    <w:rsid w:val="00512999"/>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6D8"/>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816"/>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5DA6"/>
    <w:rsid w:val="00556460"/>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0D8B"/>
    <w:rsid w:val="00590F06"/>
    <w:rsid w:val="00592401"/>
    <w:rsid w:val="00592642"/>
    <w:rsid w:val="00592D57"/>
    <w:rsid w:val="00594503"/>
    <w:rsid w:val="00594C22"/>
    <w:rsid w:val="00594C68"/>
    <w:rsid w:val="00595549"/>
    <w:rsid w:val="00596454"/>
    <w:rsid w:val="00596D2E"/>
    <w:rsid w:val="005A002B"/>
    <w:rsid w:val="005A1E0E"/>
    <w:rsid w:val="005A1FEC"/>
    <w:rsid w:val="005A3799"/>
    <w:rsid w:val="005A3D78"/>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281"/>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28"/>
    <w:rsid w:val="005D41F4"/>
    <w:rsid w:val="005D4625"/>
    <w:rsid w:val="005D463B"/>
    <w:rsid w:val="005D4B2B"/>
    <w:rsid w:val="005D595E"/>
    <w:rsid w:val="005D64E5"/>
    <w:rsid w:val="005D69F7"/>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520"/>
    <w:rsid w:val="005F1A62"/>
    <w:rsid w:val="005F2074"/>
    <w:rsid w:val="005F22AD"/>
    <w:rsid w:val="005F234D"/>
    <w:rsid w:val="005F2A6A"/>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553"/>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6"/>
    <w:rsid w:val="00672D22"/>
    <w:rsid w:val="00673261"/>
    <w:rsid w:val="00673D7E"/>
    <w:rsid w:val="00674EEF"/>
    <w:rsid w:val="0067516A"/>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63C2"/>
    <w:rsid w:val="006877DB"/>
    <w:rsid w:val="00687842"/>
    <w:rsid w:val="00687C17"/>
    <w:rsid w:val="0069017A"/>
    <w:rsid w:val="00690490"/>
    <w:rsid w:val="006918EE"/>
    <w:rsid w:val="00691F11"/>
    <w:rsid w:val="00692682"/>
    <w:rsid w:val="00692A6A"/>
    <w:rsid w:val="00692F61"/>
    <w:rsid w:val="00692F75"/>
    <w:rsid w:val="0069304D"/>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971"/>
    <w:rsid w:val="006A6E83"/>
    <w:rsid w:val="006A7F13"/>
    <w:rsid w:val="006A7F66"/>
    <w:rsid w:val="006B0442"/>
    <w:rsid w:val="006B04EF"/>
    <w:rsid w:val="006B2AF3"/>
    <w:rsid w:val="006B4BDB"/>
    <w:rsid w:val="006B50FA"/>
    <w:rsid w:val="006B5570"/>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4FE"/>
    <w:rsid w:val="006C6843"/>
    <w:rsid w:val="006C6FA5"/>
    <w:rsid w:val="006C7D03"/>
    <w:rsid w:val="006C7D96"/>
    <w:rsid w:val="006D0146"/>
    <w:rsid w:val="006D0182"/>
    <w:rsid w:val="006D0848"/>
    <w:rsid w:val="006D08AE"/>
    <w:rsid w:val="006D0A30"/>
    <w:rsid w:val="006D1BCA"/>
    <w:rsid w:val="006D1F2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485F"/>
    <w:rsid w:val="006E5442"/>
    <w:rsid w:val="006E5700"/>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B0"/>
    <w:rsid w:val="007251C3"/>
    <w:rsid w:val="007255B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8D7"/>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6606"/>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0B3"/>
    <w:rsid w:val="007704E1"/>
    <w:rsid w:val="007709FF"/>
    <w:rsid w:val="00770B89"/>
    <w:rsid w:val="007717DE"/>
    <w:rsid w:val="00771980"/>
    <w:rsid w:val="00771EDD"/>
    <w:rsid w:val="00772586"/>
    <w:rsid w:val="007729AF"/>
    <w:rsid w:val="00772DAA"/>
    <w:rsid w:val="00772FF5"/>
    <w:rsid w:val="00773373"/>
    <w:rsid w:val="00773A5A"/>
    <w:rsid w:val="00773B3E"/>
    <w:rsid w:val="007741C0"/>
    <w:rsid w:val="0077426D"/>
    <w:rsid w:val="00775200"/>
    <w:rsid w:val="00775528"/>
    <w:rsid w:val="00776DC6"/>
    <w:rsid w:val="00777681"/>
    <w:rsid w:val="00777880"/>
    <w:rsid w:val="007806A8"/>
    <w:rsid w:val="00780A50"/>
    <w:rsid w:val="00780A97"/>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19C"/>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A53"/>
    <w:rsid w:val="007A7DBF"/>
    <w:rsid w:val="007B1830"/>
    <w:rsid w:val="007B2B5C"/>
    <w:rsid w:val="007B2D08"/>
    <w:rsid w:val="007B2D31"/>
    <w:rsid w:val="007B2E0F"/>
    <w:rsid w:val="007B3D65"/>
    <w:rsid w:val="007B3E2E"/>
    <w:rsid w:val="007B3EC5"/>
    <w:rsid w:val="007B4654"/>
    <w:rsid w:val="007B4666"/>
    <w:rsid w:val="007B49A9"/>
    <w:rsid w:val="007B4AAB"/>
    <w:rsid w:val="007B4FF5"/>
    <w:rsid w:val="007B503F"/>
    <w:rsid w:val="007B5A63"/>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6F2A"/>
    <w:rsid w:val="007D722C"/>
    <w:rsid w:val="007D786A"/>
    <w:rsid w:val="007D7F1F"/>
    <w:rsid w:val="007E04DF"/>
    <w:rsid w:val="007E15A9"/>
    <w:rsid w:val="007E2417"/>
    <w:rsid w:val="007E2565"/>
    <w:rsid w:val="007E32C7"/>
    <w:rsid w:val="007E44F9"/>
    <w:rsid w:val="007E460F"/>
    <w:rsid w:val="007E53EC"/>
    <w:rsid w:val="007E54F5"/>
    <w:rsid w:val="007E66BC"/>
    <w:rsid w:val="007F05A9"/>
    <w:rsid w:val="007F0B3F"/>
    <w:rsid w:val="007F0BBB"/>
    <w:rsid w:val="007F17E9"/>
    <w:rsid w:val="007F1ECB"/>
    <w:rsid w:val="007F20D2"/>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28C"/>
    <w:rsid w:val="008063FE"/>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257"/>
    <w:rsid w:val="0083398C"/>
    <w:rsid w:val="008350AC"/>
    <w:rsid w:val="00835638"/>
    <w:rsid w:val="00835C87"/>
    <w:rsid w:val="008369BC"/>
    <w:rsid w:val="00837B23"/>
    <w:rsid w:val="00840520"/>
    <w:rsid w:val="0084060F"/>
    <w:rsid w:val="00840D1D"/>
    <w:rsid w:val="00840E13"/>
    <w:rsid w:val="00840ED7"/>
    <w:rsid w:val="00841128"/>
    <w:rsid w:val="00841A87"/>
    <w:rsid w:val="00841BFD"/>
    <w:rsid w:val="008425C0"/>
    <w:rsid w:val="008430F3"/>
    <w:rsid w:val="008432A3"/>
    <w:rsid w:val="00843567"/>
    <w:rsid w:val="008439DD"/>
    <w:rsid w:val="00843E47"/>
    <w:rsid w:val="00844889"/>
    <w:rsid w:val="008448D7"/>
    <w:rsid w:val="008453CB"/>
    <w:rsid w:val="00845CC0"/>
    <w:rsid w:val="00845D84"/>
    <w:rsid w:val="00846653"/>
    <w:rsid w:val="00846721"/>
    <w:rsid w:val="00846987"/>
    <w:rsid w:val="00846E95"/>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0B9F"/>
    <w:rsid w:val="0087111E"/>
    <w:rsid w:val="00871403"/>
    <w:rsid w:val="00873298"/>
    <w:rsid w:val="0087390B"/>
    <w:rsid w:val="00873941"/>
    <w:rsid w:val="00873959"/>
    <w:rsid w:val="00874380"/>
    <w:rsid w:val="00874595"/>
    <w:rsid w:val="00874AEC"/>
    <w:rsid w:val="00875752"/>
    <w:rsid w:val="0087684B"/>
    <w:rsid w:val="0087692F"/>
    <w:rsid w:val="00876EF6"/>
    <w:rsid w:val="00876F74"/>
    <w:rsid w:val="008804CD"/>
    <w:rsid w:val="008806E4"/>
    <w:rsid w:val="008809D5"/>
    <w:rsid w:val="00880DC8"/>
    <w:rsid w:val="00880E4F"/>
    <w:rsid w:val="00882774"/>
    <w:rsid w:val="00883EFD"/>
    <w:rsid w:val="0088483A"/>
    <w:rsid w:val="00884AB6"/>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0D8F"/>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DA6"/>
    <w:rsid w:val="008B5EB2"/>
    <w:rsid w:val="008B62B5"/>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604"/>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465"/>
    <w:rsid w:val="009259E6"/>
    <w:rsid w:val="00926483"/>
    <w:rsid w:val="00927186"/>
    <w:rsid w:val="00930C79"/>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22D6"/>
    <w:rsid w:val="00942D96"/>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2AC1"/>
    <w:rsid w:val="00952C22"/>
    <w:rsid w:val="00953972"/>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6269"/>
    <w:rsid w:val="009673B5"/>
    <w:rsid w:val="00967702"/>
    <w:rsid w:val="00970A7C"/>
    <w:rsid w:val="009712EF"/>
    <w:rsid w:val="00971527"/>
    <w:rsid w:val="009715AD"/>
    <w:rsid w:val="0097246A"/>
    <w:rsid w:val="00972672"/>
    <w:rsid w:val="00973033"/>
    <w:rsid w:val="0097380E"/>
    <w:rsid w:val="009755AF"/>
    <w:rsid w:val="00975937"/>
    <w:rsid w:val="009768AE"/>
    <w:rsid w:val="009771E3"/>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26BE"/>
    <w:rsid w:val="009A3385"/>
    <w:rsid w:val="009A39B8"/>
    <w:rsid w:val="009A4F03"/>
    <w:rsid w:val="009A7384"/>
    <w:rsid w:val="009A7A67"/>
    <w:rsid w:val="009B027A"/>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B96"/>
    <w:rsid w:val="009D4D61"/>
    <w:rsid w:val="009D56DB"/>
    <w:rsid w:val="009D57B5"/>
    <w:rsid w:val="009D732B"/>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3964"/>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452"/>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AEE"/>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CE9"/>
    <w:rsid w:val="00A62E16"/>
    <w:rsid w:val="00A62FBC"/>
    <w:rsid w:val="00A63A24"/>
    <w:rsid w:val="00A64C07"/>
    <w:rsid w:val="00A64E58"/>
    <w:rsid w:val="00A64E9F"/>
    <w:rsid w:val="00A672A2"/>
    <w:rsid w:val="00A672F0"/>
    <w:rsid w:val="00A673D3"/>
    <w:rsid w:val="00A7135F"/>
    <w:rsid w:val="00A71652"/>
    <w:rsid w:val="00A7168C"/>
    <w:rsid w:val="00A71CA3"/>
    <w:rsid w:val="00A71FC8"/>
    <w:rsid w:val="00A74196"/>
    <w:rsid w:val="00A74252"/>
    <w:rsid w:val="00A742CB"/>
    <w:rsid w:val="00A74337"/>
    <w:rsid w:val="00A74735"/>
    <w:rsid w:val="00A74974"/>
    <w:rsid w:val="00A7506F"/>
    <w:rsid w:val="00A753C9"/>
    <w:rsid w:val="00A76EAC"/>
    <w:rsid w:val="00A80A9D"/>
    <w:rsid w:val="00A819E1"/>
    <w:rsid w:val="00A820BC"/>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558"/>
    <w:rsid w:val="00AA399E"/>
    <w:rsid w:val="00AA3DE4"/>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1043"/>
    <w:rsid w:val="00AC2096"/>
    <w:rsid w:val="00AC33D6"/>
    <w:rsid w:val="00AC3991"/>
    <w:rsid w:val="00AC3CFE"/>
    <w:rsid w:val="00AC49CD"/>
    <w:rsid w:val="00AC4A04"/>
    <w:rsid w:val="00AC5600"/>
    <w:rsid w:val="00AC5C52"/>
    <w:rsid w:val="00AC5CD8"/>
    <w:rsid w:val="00AC7546"/>
    <w:rsid w:val="00AC7DF8"/>
    <w:rsid w:val="00AD004E"/>
    <w:rsid w:val="00AD044C"/>
    <w:rsid w:val="00AD0869"/>
    <w:rsid w:val="00AD0898"/>
    <w:rsid w:val="00AD19DE"/>
    <w:rsid w:val="00AD1FE5"/>
    <w:rsid w:val="00AD2492"/>
    <w:rsid w:val="00AD2835"/>
    <w:rsid w:val="00AD2B03"/>
    <w:rsid w:val="00AD2E1B"/>
    <w:rsid w:val="00AD44D3"/>
    <w:rsid w:val="00AD4E30"/>
    <w:rsid w:val="00AD61A8"/>
    <w:rsid w:val="00AD6452"/>
    <w:rsid w:val="00AD652A"/>
    <w:rsid w:val="00AD6E33"/>
    <w:rsid w:val="00AE0377"/>
    <w:rsid w:val="00AE043B"/>
    <w:rsid w:val="00AE0616"/>
    <w:rsid w:val="00AE1083"/>
    <w:rsid w:val="00AE1227"/>
    <w:rsid w:val="00AE1229"/>
    <w:rsid w:val="00AE20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745"/>
    <w:rsid w:val="00B00884"/>
    <w:rsid w:val="00B02280"/>
    <w:rsid w:val="00B0307A"/>
    <w:rsid w:val="00B068F8"/>
    <w:rsid w:val="00B06DCC"/>
    <w:rsid w:val="00B073CB"/>
    <w:rsid w:val="00B0774E"/>
    <w:rsid w:val="00B07F1E"/>
    <w:rsid w:val="00B10618"/>
    <w:rsid w:val="00B106AA"/>
    <w:rsid w:val="00B10FCB"/>
    <w:rsid w:val="00B12A56"/>
    <w:rsid w:val="00B131B8"/>
    <w:rsid w:val="00B132E1"/>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4AA"/>
    <w:rsid w:val="00B3277E"/>
    <w:rsid w:val="00B32AB9"/>
    <w:rsid w:val="00B33AA4"/>
    <w:rsid w:val="00B33C27"/>
    <w:rsid w:val="00B33CF9"/>
    <w:rsid w:val="00B33D24"/>
    <w:rsid w:val="00B33DD1"/>
    <w:rsid w:val="00B33E26"/>
    <w:rsid w:val="00B3459F"/>
    <w:rsid w:val="00B347CF"/>
    <w:rsid w:val="00B35AC3"/>
    <w:rsid w:val="00B35D04"/>
    <w:rsid w:val="00B36598"/>
    <w:rsid w:val="00B406C0"/>
    <w:rsid w:val="00B4094C"/>
    <w:rsid w:val="00B40F4A"/>
    <w:rsid w:val="00B4168E"/>
    <w:rsid w:val="00B42721"/>
    <w:rsid w:val="00B42DD2"/>
    <w:rsid w:val="00B42FE9"/>
    <w:rsid w:val="00B43911"/>
    <w:rsid w:val="00B43B08"/>
    <w:rsid w:val="00B45243"/>
    <w:rsid w:val="00B4739F"/>
    <w:rsid w:val="00B47797"/>
    <w:rsid w:val="00B47819"/>
    <w:rsid w:val="00B507A1"/>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47C"/>
    <w:rsid w:val="00B7074B"/>
    <w:rsid w:val="00B70AD8"/>
    <w:rsid w:val="00B7162C"/>
    <w:rsid w:val="00B71AFF"/>
    <w:rsid w:val="00B71E86"/>
    <w:rsid w:val="00B724AF"/>
    <w:rsid w:val="00B7298C"/>
    <w:rsid w:val="00B72D64"/>
    <w:rsid w:val="00B731C9"/>
    <w:rsid w:val="00B7371C"/>
    <w:rsid w:val="00B73AB5"/>
    <w:rsid w:val="00B7438C"/>
    <w:rsid w:val="00B74AAA"/>
    <w:rsid w:val="00B74FC7"/>
    <w:rsid w:val="00B75B41"/>
    <w:rsid w:val="00B763F6"/>
    <w:rsid w:val="00B76D98"/>
    <w:rsid w:val="00B777FE"/>
    <w:rsid w:val="00B80F98"/>
    <w:rsid w:val="00B81AB9"/>
    <w:rsid w:val="00B82BA7"/>
    <w:rsid w:val="00B82D83"/>
    <w:rsid w:val="00B83154"/>
    <w:rsid w:val="00B832A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5B3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2AC"/>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93C"/>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37E"/>
    <w:rsid w:val="00BE5C1E"/>
    <w:rsid w:val="00BE64A0"/>
    <w:rsid w:val="00BE6DE9"/>
    <w:rsid w:val="00BE703B"/>
    <w:rsid w:val="00BF1E3E"/>
    <w:rsid w:val="00BF2130"/>
    <w:rsid w:val="00BF26A7"/>
    <w:rsid w:val="00BF509F"/>
    <w:rsid w:val="00BF556F"/>
    <w:rsid w:val="00BF5CBD"/>
    <w:rsid w:val="00BF648F"/>
    <w:rsid w:val="00BF6968"/>
    <w:rsid w:val="00BF7956"/>
    <w:rsid w:val="00C0041C"/>
    <w:rsid w:val="00C0056C"/>
    <w:rsid w:val="00C01802"/>
    <w:rsid w:val="00C030D9"/>
    <w:rsid w:val="00C031BC"/>
    <w:rsid w:val="00C03518"/>
    <w:rsid w:val="00C03B82"/>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0DAF"/>
    <w:rsid w:val="00C33AAC"/>
    <w:rsid w:val="00C33CB5"/>
    <w:rsid w:val="00C33FBB"/>
    <w:rsid w:val="00C34106"/>
    <w:rsid w:val="00C34E41"/>
    <w:rsid w:val="00C3546E"/>
    <w:rsid w:val="00C35CFA"/>
    <w:rsid w:val="00C35E15"/>
    <w:rsid w:val="00C369F7"/>
    <w:rsid w:val="00C37113"/>
    <w:rsid w:val="00C40A22"/>
    <w:rsid w:val="00C4156D"/>
    <w:rsid w:val="00C41ADF"/>
    <w:rsid w:val="00C42516"/>
    <w:rsid w:val="00C42523"/>
    <w:rsid w:val="00C42638"/>
    <w:rsid w:val="00C4288D"/>
    <w:rsid w:val="00C435E9"/>
    <w:rsid w:val="00C43835"/>
    <w:rsid w:val="00C44556"/>
    <w:rsid w:val="00C4577C"/>
    <w:rsid w:val="00C4579E"/>
    <w:rsid w:val="00C45A05"/>
    <w:rsid w:val="00C4623A"/>
    <w:rsid w:val="00C46F64"/>
    <w:rsid w:val="00C471E3"/>
    <w:rsid w:val="00C475DC"/>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1A9B"/>
    <w:rsid w:val="00CA2170"/>
    <w:rsid w:val="00CA2C52"/>
    <w:rsid w:val="00CA4855"/>
    <w:rsid w:val="00CA526D"/>
    <w:rsid w:val="00CA5914"/>
    <w:rsid w:val="00CA5D8F"/>
    <w:rsid w:val="00CA648E"/>
    <w:rsid w:val="00CA70BC"/>
    <w:rsid w:val="00CA713F"/>
    <w:rsid w:val="00CA728E"/>
    <w:rsid w:val="00CA748C"/>
    <w:rsid w:val="00CA7B55"/>
    <w:rsid w:val="00CB0C4A"/>
    <w:rsid w:val="00CB16CC"/>
    <w:rsid w:val="00CB199B"/>
    <w:rsid w:val="00CB22AB"/>
    <w:rsid w:val="00CB2C78"/>
    <w:rsid w:val="00CB3989"/>
    <w:rsid w:val="00CB486B"/>
    <w:rsid w:val="00CB4DF7"/>
    <w:rsid w:val="00CB5883"/>
    <w:rsid w:val="00CB59B6"/>
    <w:rsid w:val="00CB59D8"/>
    <w:rsid w:val="00CB5D4C"/>
    <w:rsid w:val="00CB6544"/>
    <w:rsid w:val="00CB7367"/>
    <w:rsid w:val="00CB7906"/>
    <w:rsid w:val="00CC0A82"/>
    <w:rsid w:val="00CC1194"/>
    <w:rsid w:val="00CC15C6"/>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26DD"/>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4A"/>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1FC4"/>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093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B7E20"/>
    <w:rsid w:val="00DC0AE6"/>
    <w:rsid w:val="00DC0F3F"/>
    <w:rsid w:val="00DC13E9"/>
    <w:rsid w:val="00DC152D"/>
    <w:rsid w:val="00DC1B93"/>
    <w:rsid w:val="00DC265A"/>
    <w:rsid w:val="00DC326D"/>
    <w:rsid w:val="00DC3325"/>
    <w:rsid w:val="00DC35A2"/>
    <w:rsid w:val="00DC370C"/>
    <w:rsid w:val="00DC3EAC"/>
    <w:rsid w:val="00DC42F9"/>
    <w:rsid w:val="00DC4F45"/>
    <w:rsid w:val="00DC5148"/>
    <w:rsid w:val="00DC52ED"/>
    <w:rsid w:val="00DC651E"/>
    <w:rsid w:val="00DC6855"/>
    <w:rsid w:val="00DC6E29"/>
    <w:rsid w:val="00DC716E"/>
    <w:rsid w:val="00DC75E6"/>
    <w:rsid w:val="00DD1B10"/>
    <w:rsid w:val="00DD1ED7"/>
    <w:rsid w:val="00DD33F7"/>
    <w:rsid w:val="00DD3DF9"/>
    <w:rsid w:val="00DD4105"/>
    <w:rsid w:val="00DD44AA"/>
    <w:rsid w:val="00DD4798"/>
    <w:rsid w:val="00DD502C"/>
    <w:rsid w:val="00DD58FE"/>
    <w:rsid w:val="00DD5D3B"/>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02"/>
    <w:rsid w:val="00E02F7C"/>
    <w:rsid w:val="00E03146"/>
    <w:rsid w:val="00E03285"/>
    <w:rsid w:val="00E0370A"/>
    <w:rsid w:val="00E05055"/>
    <w:rsid w:val="00E05A88"/>
    <w:rsid w:val="00E0620D"/>
    <w:rsid w:val="00E06408"/>
    <w:rsid w:val="00E069B3"/>
    <w:rsid w:val="00E06AED"/>
    <w:rsid w:val="00E06BC5"/>
    <w:rsid w:val="00E06DD6"/>
    <w:rsid w:val="00E076E5"/>
    <w:rsid w:val="00E07CD5"/>
    <w:rsid w:val="00E106A8"/>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462"/>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120"/>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3D52"/>
    <w:rsid w:val="00E9436D"/>
    <w:rsid w:val="00E94851"/>
    <w:rsid w:val="00E94A62"/>
    <w:rsid w:val="00E9527A"/>
    <w:rsid w:val="00E95933"/>
    <w:rsid w:val="00E96978"/>
    <w:rsid w:val="00E96AEE"/>
    <w:rsid w:val="00E9714D"/>
    <w:rsid w:val="00E9777C"/>
    <w:rsid w:val="00E97ADE"/>
    <w:rsid w:val="00EA0DC8"/>
    <w:rsid w:val="00EA103A"/>
    <w:rsid w:val="00EA1903"/>
    <w:rsid w:val="00EA28F3"/>
    <w:rsid w:val="00EA2B7F"/>
    <w:rsid w:val="00EA3341"/>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7BC"/>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35F"/>
    <w:rsid w:val="00EC44D5"/>
    <w:rsid w:val="00EC4998"/>
    <w:rsid w:val="00EC4DD5"/>
    <w:rsid w:val="00EC5BD1"/>
    <w:rsid w:val="00ED08A7"/>
    <w:rsid w:val="00ED0A84"/>
    <w:rsid w:val="00ED0F49"/>
    <w:rsid w:val="00ED0FAC"/>
    <w:rsid w:val="00ED1A31"/>
    <w:rsid w:val="00ED4BDF"/>
    <w:rsid w:val="00ED4F4A"/>
    <w:rsid w:val="00ED516E"/>
    <w:rsid w:val="00ED7B39"/>
    <w:rsid w:val="00ED7C3F"/>
    <w:rsid w:val="00EE14B6"/>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4AFD"/>
    <w:rsid w:val="00F154C2"/>
    <w:rsid w:val="00F15962"/>
    <w:rsid w:val="00F1596E"/>
    <w:rsid w:val="00F161F8"/>
    <w:rsid w:val="00F164FB"/>
    <w:rsid w:val="00F1681C"/>
    <w:rsid w:val="00F16F02"/>
    <w:rsid w:val="00F174FA"/>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210"/>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BF2"/>
    <w:rsid w:val="00F51F06"/>
    <w:rsid w:val="00F52FCD"/>
    <w:rsid w:val="00F53603"/>
    <w:rsid w:val="00F5368D"/>
    <w:rsid w:val="00F53866"/>
    <w:rsid w:val="00F53A75"/>
    <w:rsid w:val="00F53B9F"/>
    <w:rsid w:val="00F53D99"/>
    <w:rsid w:val="00F53ED2"/>
    <w:rsid w:val="00F53FEA"/>
    <w:rsid w:val="00F5521F"/>
    <w:rsid w:val="00F56FB2"/>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BD3"/>
    <w:rsid w:val="00F75B1A"/>
    <w:rsid w:val="00F7676A"/>
    <w:rsid w:val="00F803F5"/>
    <w:rsid w:val="00F80686"/>
    <w:rsid w:val="00F80712"/>
    <w:rsid w:val="00F8114D"/>
    <w:rsid w:val="00F83748"/>
    <w:rsid w:val="00F842F8"/>
    <w:rsid w:val="00F8461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550"/>
    <w:rsid w:val="00FA7DC4"/>
    <w:rsid w:val="00FA7F41"/>
    <w:rsid w:val="00FB08E7"/>
    <w:rsid w:val="00FB1401"/>
    <w:rsid w:val="00FB1598"/>
    <w:rsid w:val="00FB1B6D"/>
    <w:rsid w:val="00FB1F93"/>
    <w:rsid w:val="00FB24F4"/>
    <w:rsid w:val="00FB26E7"/>
    <w:rsid w:val="00FB48C7"/>
    <w:rsid w:val="00FB4E94"/>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5DC3"/>
    <w:rsid w:val="00FC61B8"/>
    <w:rsid w:val="00FC6D49"/>
    <w:rsid w:val="00FC6D5F"/>
    <w:rsid w:val="00FC6F12"/>
    <w:rsid w:val="00FC755B"/>
    <w:rsid w:val="00FC7612"/>
    <w:rsid w:val="00FC7E97"/>
    <w:rsid w:val="00FC7F44"/>
    <w:rsid w:val="00FD293F"/>
    <w:rsid w:val="00FD2C4F"/>
    <w:rsid w:val="00FD5169"/>
    <w:rsid w:val="00FD7941"/>
    <w:rsid w:val="00FD7948"/>
    <w:rsid w:val="00FE00B1"/>
    <w:rsid w:val="00FE02C6"/>
    <w:rsid w:val="00FE089D"/>
    <w:rsid w:val="00FE1721"/>
    <w:rsid w:val="00FE18D0"/>
    <w:rsid w:val="00FE1A14"/>
    <w:rsid w:val="00FE1F4E"/>
    <w:rsid w:val="00FE2404"/>
    <w:rsid w:val="00FE257E"/>
    <w:rsid w:val="00FE283F"/>
    <w:rsid w:val="00FE2C51"/>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C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D52"/>
    <w:pPr>
      <w:overflowPunct w:val="0"/>
      <w:autoSpaceDE w:val="0"/>
      <w:autoSpaceDN w:val="0"/>
      <w:adjustRightInd w:val="0"/>
      <w:spacing w:before="100" w:beforeAutospacing="1" w:after="180"/>
      <w:textAlignment w:val="baseline"/>
    </w:pPr>
    <w:rPr>
      <w:rFonts w:ascii="Times New Roman" w:eastAsia="SimSu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0">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0"/>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hAnsi="Arial" w:cs="Arial"/>
    </w:rPr>
  </w:style>
  <w:style w:type="paragraph" w:customStyle="1" w:styleId="b11">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0"/>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hAnsi="SimSun" w:cs="SimSun"/>
    </w:rPr>
  </w:style>
  <w:style w:type="paragraph" w:customStyle="1" w:styleId="tah0">
    <w:name w:val="tah"/>
    <w:basedOn w:val="Normal"/>
    <w:uiPriority w:val="99"/>
    <w:semiHidden/>
    <w:rsid w:val="005F1A62"/>
    <w:rPr>
      <w:rFonts w:ascii="SimSun" w:hAnsi="SimSun" w:cs="SimSun"/>
    </w:rPr>
  </w:style>
  <w:style w:type="paragraph" w:customStyle="1" w:styleId="tac0">
    <w:name w:val="tac"/>
    <w:basedOn w:val="Normal"/>
    <w:uiPriority w:val="99"/>
    <w:semiHidden/>
    <w:rsid w:val="005F1A62"/>
    <w:rPr>
      <w:rFonts w:ascii="SimSun" w:hAnsi="SimSun" w:cs="SimSun"/>
    </w:rPr>
  </w:style>
  <w:style w:type="paragraph" w:customStyle="1" w:styleId="tan0">
    <w:name w:val="tan"/>
    <w:basedOn w:val="Normal"/>
    <w:uiPriority w:val="99"/>
    <w:semiHidden/>
    <w:rsid w:val="005F1A62"/>
    <w:rPr>
      <w:rFonts w:ascii="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paragraph" w:customStyle="1" w:styleId="B1">
    <w:name w:val="B1+"/>
    <w:basedOn w:val="Normal"/>
    <w:rsid w:val="00351D7D"/>
    <w:pPr>
      <w:numPr>
        <w:numId w:val="54"/>
      </w:numPr>
      <w:spacing w:before="0" w:beforeAutospacing="0"/>
      <w:textAlignment w:val="auto"/>
    </w:pPr>
    <w:rPr>
      <w:lang w:val="en-GB" w:eastAsia="en-US"/>
    </w:rPr>
  </w:style>
  <w:style w:type="character" w:customStyle="1" w:styleId="EQChar">
    <w:name w:val="EQ Char"/>
    <w:link w:val="EQ"/>
    <w:qFormat/>
    <w:locked/>
    <w:rsid w:val="00FC5DC3"/>
    <w:rPr>
      <w:rFonts w:ascii="Times New Roman" w:eastAsia="SimSun" w:hAnsi="Times New Roman"/>
      <w:noProof/>
      <w:sz w:val="24"/>
      <w:szCs w:val="24"/>
    </w:rPr>
  </w:style>
  <w:style w:type="character" w:styleId="UnresolvedMention">
    <w:name w:val="Unresolved Mention"/>
    <w:basedOn w:val="DefaultParagraphFont"/>
    <w:uiPriority w:val="99"/>
    <w:semiHidden/>
    <w:unhideWhenUsed/>
    <w:rsid w:val="005378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1924229">
      <w:bodyDiv w:val="1"/>
      <w:marLeft w:val="0"/>
      <w:marRight w:val="0"/>
      <w:marTop w:val="0"/>
      <w:marBottom w:val="0"/>
      <w:divBdr>
        <w:top w:val="none" w:sz="0" w:space="0" w:color="auto"/>
        <w:left w:val="none" w:sz="0" w:space="0" w:color="auto"/>
        <w:bottom w:val="none" w:sz="0" w:space="0" w:color="auto"/>
        <w:right w:val="none" w:sz="0" w:space="0" w:color="auto"/>
      </w:divBdr>
      <w:divsChild>
        <w:div w:id="665285246">
          <w:marLeft w:val="533"/>
          <w:marRight w:val="0"/>
          <w:marTop w:val="134"/>
          <w:marBottom w:val="0"/>
          <w:divBdr>
            <w:top w:val="none" w:sz="0" w:space="0" w:color="auto"/>
            <w:left w:val="none" w:sz="0" w:space="0" w:color="auto"/>
            <w:bottom w:val="none" w:sz="0" w:space="0" w:color="auto"/>
            <w:right w:val="none" w:sz="0" w:space="0" w:color="auto"/>
          </w:divBdr>
        </w:div>
        <w:div w:id="750781646">
          <w:marLeft w:val="1166"/>
          <w:marRight w:val="0"/>
          <w:marTop w:val="115"/>
          <w:marBottom w:val="0"/>
          <w:divBdr>
            <w:top w:val="none" w:sz="0" w:space="0" w:color="auto"/>
            <w:left w:val="none" w:sz="0" w:space="0" w:color="auto"/>
            <w:bottom w:val="none" w:sz="0" w:space="0" w:color="auto"/>
            <w:right w:val="none" w:sz="0" w:space="0" w:color="auto"/>
          </w:divBdr>
        </w:div>
        <w:div w:id="1025523953">
          <w:marLeft w:val="1166"/>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539903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0687518">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3788123">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484859252">
      <w:bodyDiv w:val="1"/>
      <w:marLeft w:val="0"/>
      <w:marRight w:val="0"/>
      <w:marTop w:val="0"/>
      <w:marBottom w:val="0"/>
      <w:divBdr>
        <w:top w:val="none" w:sz="0" w:space="0" w:color="auto"/>
        <w:left w:val="none" w:sz="0" w:space="0" w:color="auto"/>
        <w:bottom w:val="none" w:sz="0" w:space="0" w:color="auto"/>
        <w:right w:val="none" w:sz="0" w:space="0" w:color="auto"/>
      </w:divBdr>
      <w:divsChild>
        <w:div w:id="1724600560">
          <w:marLeft w:val="0"/>
          <w:marRight w:val="0"/>
          <w:marTop w:val="0"/>
          <w:marBottom w:val="0"/>
          <w:divBdr>
            <w:top w:val="none" w:sz="0" w:space="0" w:color="auto"/>
            <w:left w:val="none" w:sz="0" w:space="0" w:color="auto"/>
            <w:bottom w:val="none" w:sz="0" w:space="0" w:color="auto"/>
            <w:right w:val="none" w:sz="0" w:space="0" w:color="auto"/>
          </w:divBdr>
          <w:divsChild>
            <w:div w:id="1949969807">
              <w:marLeft w:val="0"/>
              <w:marRight w:val="0"/>
              <w:marTop w:val="0"/>
              <w:marBottom w:val="0"/>
              <w:divBdr>
                <w:top w:val="none" w:sz="0" w:space="0" w:color="auto"/>
                <w:left w:val="none" w:sz="0" w:space="0" w:color="auto"/>
                <w:bottom w:val="none" w:sz="0" w:space="0" w:color="auto"/>
                <w:right w:val="none" w:sz="0" w:space="0" w:color="auto"/>
              </w:divBdr>
              <w:divsChild>
                <w:div w:id="1688364763">
                  <w:marLeft w:val="0"/>
                  <w:marRight w:val="0"/>
                  <w:marTop w:val="0"/>
                  <w:marBottom w:val="0"/>
                  <w:divBdr>
                    <w:top w:val="none" w:sz="0" w:space="0" w:color="auto"/>
                    <w:left w:val="none" w:sz="0" w:space="0" w:color="auto"/>
                    <w:bottom w:val="none" w:sz="0" w:space="0" w:color="auto"/>
                    <w:right w:val="none" w:sz="0" w:space="0" w:color="auto"/>
                  </w:divBdr>
                  <w:divsChild>
                    <w:div w:id="206066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3150423">
      <w:bodyDiv w:val="1"/>
      <w:marLeft w:val="0"/>
      <w:marRight w:val="0"/>
      <w:marTop w:val="0"/>
      <w:marBottom w:val="0"/>
      <w:divBdr>
        <w:top w:val="none" w:sz="0" w:space="0" w:color="auto"/>
        <w:left w:val="none" w:sz="0" w:space="0" w:color="auto"/>
        <w:bottom w:val="none" w:sz="0" w:space="0" w:color="auto"/>
        <w:right w:val="none" w:sz="0" w:space="0" w:color="auto"/>
      </w:divBdr>
    </w:div>
    <w:div w:id="63413986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2630810">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45734463">
      <w:bodyDiv w:val="1"/>
      <w:marLeft w:val="0"/>
      <w:marRight w:val="0"/>
      <w:marTop w:val="0"/>
      <w:marBottom w:val="0"/>
      <w:divBdr>
        <w:top w:val="none" w:sz="0" w:space="0" w:color="auto"/>
        <w:left w:val="none" w:sz="0" w:space="0" w:color="auto"/>
        <w:bottom w:val="none" w:sz="0" w:space="0" w:color="auto"/>
        <w:right w:val="none" w:sz="0" w:space="0" w:color="auto"/>
      </w:divBdr>
    </w:div>
    <w:div w:id="750859749">
      <w:bodyDiv w:val="1"/>
      <w:marLeft w:val="0"/>
      <w:marRight w:val="0"/>
      <w:marTop w:val="0"/>
      <w:marBottom w:val="0"/>
      <w:divBdr>
        <w:top w:val="none" w:sz="0" w:space="0" w:color="auto"/>
        <w:left w:val="none" w:sz="0" w:space="0" w:color="auto"/>
        <w:bottom w:val="none" w:sz="0" w:space="0" w:color="auto"/>
        <w:right w:val="none" w:sz="0" w:space="0" w:color="auto"/>
      </w:divBdr>
    </w:div>
    <w:div w:id="754863173">
      <w:bodyDiv w:val="1"/>
      <w:marLeft w:val="0"/>
      <w:marRight w:val="0"/>
      <w:marTop w:val="0"/>
      <w:marBottom w:val="0"/>
      <w:divBdr>
        <w:top w:val="none" w:sz="0" w:space="0" w:color="auto"/>
        <w:left w:val="none" w:sz="0" w:space="0" w:color="auto"/>
        <w:bottom w:val="none" w:sz="0" w:space="0" w:color="auto"/>
        <w:right w:val="none" w:sz="0" w:space="0" w:color="auto"/>
      </w:divBdr>
    </w:div>
    <w:div w:id="76639005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597367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58326">
      <w:bodyDiv w:val="1"/>
      <w:marLeft w:val="0"/>
      <w:marRight w:val="0"/>
      <w:marTop w:val="0"/>
      <w:marBottom w:val="0"/>
      <w:divBdr>
        <w:top w:val="none" w:sz="0" w:space="0" w:color="auto"/>
        <w:left w:val="none" w:sz="0" w:space="0" w:color="auto"/>
        <w:bottom w:val="none" w:sz="0" w:space="0" w:color="auto"/>
        <w:right w:val="none" w:sz="0" w:space="0" w:color="auto"/>
      </w:divBdr>
    </w:div>
    <w:div w:id="928081236">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7705638">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6249127">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20778460">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837577">
      <w:bodyDiv w:val="1"/>
      <w:marLeft w:val="0"/>
      <w:marRight w:val="0"/>
      <w:marTop w:val="0"/>
      <w:marBottom w:val="0"/>
      <w:divBdr>
        <w:top w:val="none" w:sz="0" w:space="0" w:color="auto"/>
        <w:left w:val="none" w:sz="0" w:space="0" w:color="auto"/>
        <w:bottom w:val="none" w:sz="0" w:space="0" w:color="auto"/>
        <w:right w:val="none" w:sz="0" w:space="0" w:color="auto"/>
      </w:divBdr>
      <w:divsChild>
        <w:div w:id="1481993499">
          <w:marLeft w:val="547"/>
          <w:marRight w:val="0"/>
          <w:marTop w:val="134"/>
          <w:marBottom w:val="0"/>
          <w:divBdr>
            <w:top w:val="none" w:sz="0" w:space="0" w:color="auto"/>
            <w:left w:val="none" w:sz="0" w:space="0" w:color="auto"/>
            <w:bottom w:val="none" w:sz="0" w:space="0" w:color="auto"/>
            <w:right w:val="none" w:sz="0" w:space="0" w:color="auto"/>
          </w:divBdr>
        </w:div>
        <w:div w:id="1427262545">
          <w:marLeft w:val="1166"/>
          <w:marRight w:val="0"/>
          <w:marTop w:val="134"/>
          <w:marBottom w:val="0"/>
          <w:divBdr>
            <w:top w:val="none" w:sz="0" w:space="0" w:color="auto"/>
            <w:left w:val="none" w:sz="0" w:space="0" w:color="auto"/>
            <w:bottom w:val="none" w:sz="0" w:space="0" w:color="auto"/>
            <w:right w:val="none" w:sz="0" w:space="0" w:color="auto"/>
          </w:divBdr>
        </w:div>
        <w:div w:id="1777748256">
          <w:marLeft w:val="1800"/>
          <w:marRight w:val="0"/>
          <w:marTop w:val="115"/>
          <w:marBottom w:val="0"/>
          <w:divBdr>
            <w:top w:val="none" w:sz="0" w:space="0" w:color="auto"/>
            <w:left w:val="none" w:sz="0" w:space="0" w:color="auto"/>
            <w:bottom w:val="none" w:sz="0" w:space="0" w:color="auto"/>
            <w:right w:val="none" w:sz="0" w:space="0" w:color="auto"/>
          </w:divBdr>
        </w:div>
      </w:divsChild>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923122">
      <w:bodyDiv w:val="1"/>
      <w:marLeft w:val="0"/>
      <w:marRight w:val="0"/>
      <w:marTop w:val="0"/>
      <w:marBottom w:val="0"/>
      <w:divBdr>
        <w:top w:val="none" w:sz="0" w:space="0" w:color="auto"/>
        <w:left w:val="none" w:sz="0" w:space="0" w:color="auto"/>
        <w:bottom w:val="none" w:sz="0" w:space="0" w:color="auto"/>
        <w:right w:val="none" w:sz="0" w:space="0" w:color="auto"/>
      </w:divBdr>
    </w:div>
    <w:div w:id="1623339833">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7943740">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242214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4577047">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53034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28354961">
      <w:bodyDiv w:val="1"/>
      <w:marLeft w:val="0"/>
      <w:marRight w:val="0"/>
      <w:marTop w:val="0"/>
      <w:marBottom w:val="0"/>
      <w:divBdr>
        <w:top w:val="none" w:sz="0" w:space="0" w:color="auto"/>
        <w:left w:val="none" w:sz="0" w:space="0" w:color="auto"/>
        <w:bottom w:val="none" w:sz="0" w:space="0" w:color="auto"/>
        <w:right w:val="none" w:sz="0" w:space="0" w:color="auto"/>
      </w:divBdr>
    </w:div>
    <w:div w:id="213536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7</Pages>
  <Words>1752</Words>
  <Characters>9988</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cp:revision>
  <cp:lastPrinted>2016-08-05T18:54:00Z</cp:lastPrinted>
  <dcterms:created xsi:type="dcterms:W3CDTF">2024-10-29T04:36:00Z</dcterms:created>
  <dcterms:modified xsi:type="dcterms:W3CDTF">2024-11-08T18:41:00Z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